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1600"/>
        <w:jc w:val="center"/>
      </w:pPr>
      <w:r>
        <w:rPr>
          <w:rFonts w:ascii="Arial" w:cs="Arial" w:eastAsia="Arial" w:hAnsi="Arial"/>
          <w:b/>
          <w:bCs/>
          <w:color w:val="5B6B7B"/>
          <w:sz w:val="26"/>
          <w:szCs w:val="26"/>
          <w:rtl/>
        </w:rPr>
        <w:t xml:space="preserve">המרכז למיפוי ישראל (מפ״י)</w:t>
      </w:r>
    </w:p>
    <w:p>
      <w:pPr>
        <w:bidi/>
        <w:spacing w:after="200"/>
        <w:jc w:val="center"/>
      </w:pPr>
      <w:r>
        <w:rPr>
          <w:rFonts w:ascii="Arial" w:cs="Arial" w:eastAsia="Arial" w:hAnsi="Arial"/>
          <w:color w:val="5B6B7B"/>
          <w:sz w:val="22"/>
          <w:szCs w:val="22"/>
          <w:rtl/>
        </w:rPr>
        <w:t xml:space="preserve">פורטל הלקוחות</w:t>
      </w:r>
    </w:p>
    <w:p>
      <w:pPr>
        <w:bidi/>
        <w:spacing w:after="60" w:before="200"/>
        <w:jc w:val="center"/>
      </w:pPr>
      <w:r>
        <w:rPr>
          <w:rFonts w:ascii="Arial" w:cs="Arial" w:eastAsia="Arial" w:hAnsi="Arial"/>
          <w:b/>
          <w:bCs/>
          <w:color w:val="0B3A5E"/>
          <w:sz w:val="56"/>
          <w:szCs w:val="56"/>
          <w:rtl/>
        </w:rPr>
        <w:t xml:space="preserve">מסמך תיאור גרסה</w:t>
      </w:r>
    </w:p>
    <w:p>
      <w:pPr>
        <w:bidi/>
        <w:spacing w:after="400"/>
        <w:jc w:val="center"/>
      </w:pPr>
      <w:r>
        <w:rPr>
          <w:rFonts w:ascii="Arial" w:cs="Arial" w:eastAsia="Arial" w:hAnsi="Arial"/>
          <w:b/>
          <w:bCs/>
          <w:color w:val="9A7B33"/>
          <w:sz w:val="28"/>
          <w:szCs w:val="28"/>
          <w:rtl/>
        </w:rPr>
        <w:t xml:space="preserve">Version Description Document (VDD)</w:t>
      </w:r>
    </w:p>
    <w:p>
      <w:pPr>
        <w:bidi/>
        <w:spacing w:after="40"/>
        <w:jc w:val="center"/>
      </w:pPr>
      <w:r>
        <w:rPr>
          <w:rFonts w:ascii="Arial" w:cs="Arial" w:eastAsia="Arial" w:hAnsi="Arial"/>
          <w:b/>
          <w:bCs/>
          <w:color w:val="1A2733"/>
          <w:sz w:val="22"/>
          <w:szCs w:val="22"/>
          <w:rtl/>
        </w:rPr>
        <w:t xml:space="preserve">תאריך הפקה: 23 באוגוסט 2026</w:t>
      </w:r>
    </w:p>
    <w:p>
      <w:pPr>
        <w:bidi/>
        <w:spacing w:after="40"/>
        <w:jc w:val="center"/>
      </w:pPr>
      <w:r>
        <w:rPr>
          <w:rFonts w:ascii="Arial" w:cs="Arial" w:eastAsia="Arial" w:hAnsi="Arial"/>
          <w:color w:val="5B6B7B"/>
          <w:sz w:val="20"/>
          <w:szCs w:val="20"/>
          <w:rtl/>
        </w:rPr>
        <w:t xml:space="preserve">מזהה גרסה: 66562f4  ·  ענף: main (Production)</w:t>
      </w:r>
    </w:p>
    <w:p>
      <w:pPr>
        <w:bidi/>
        <w:spacing w:after="40"/>
        <w:jc w:val="center"/>
      </w:pPr>
      <w:r>
        <w:rPr>
          <w:rFonts w:ascii="Arial" w:cs="Arial" w:eastAsia="Arial" w:hAnsi="Arial"/>
          <w:color w:val="5B6B7B"/>
          <w:sz w:val="20"/>
          <w:szCs w:val="20"/>
          <w:rtl/>
        </w:rPr>
        <w:t xml:space="preserve">תקופת הדוח: 18–23 באוגוסט 2026</w:t>
      </w:r>
    </w:p>
    <w:p>
      <w:pPr>
        <w:bidi/>
        <w:spacing w:after="40"/>
        <w:jc w:val="center"/>
      </w:pPr>
      <w:r>
        <w:rPr>
          <w:rFonts w:ascii="Arial" w:cs="Arial" w:eastAsia="Arial" w:hAnsi="Arial"/>
          <w:color w:val="5B6B7B"/>
          <w:sz w:val="20"/>
          <w:szCs w:val="20"/>
          <w:rtl/>
        </w:rPr>
        <w:t xml:space="preserve">סיווג: פנימי  ·  סטטוס: חי בפרודקשן</w:t>
      </w:r>
    </w:p>
    <w:p>
      <w:r>
        <w:br w:type="page"/>
      </w:r>
    </w:p>
    <w:p>
      <w:pPr>
        <w:pBdr>
          <w:bottom w:val="single" w:color="9A7B33" w:sz="6" w:space="4"/>
        </w:pBdr>
        <w:bidi/>
        <w:spacing w:after="100" w:before="240"/>
        <w:jc w:val="right"/>
      </w:pPr>
      <w:r>
        <w:rPr>
          <w:rFonts w:ascii="Arial" w:cs="Arial" w:eastAsia="Arial" w:hAnsi="Arial"/>
          <w:b/>
          <w:bCs/>
          <w:color w:val="0B3A5E"/>
          <w:sz w:val="25"/>
          <w:szCs w:val="25"/>
          <w:rtl/>
        </w:rPr>
        <w:t xml:space="preserve">1. מבוא ומטרה</w:t>
      </w:r>
    </w:p>
    <w:p>
      <w:pPr>
        <w:bidi/>
        <w:spacing w:after="120" w:before="0" w:line="276"/>
        <w:jc w:val="right"/>
      </w:pPr>
      <w:r>
        <w:rPr>
          <w:rFonts w:ascii="Arial" w:cs="Arial" w:eastAsia="Arial" w:hAnsi="Arial"/>
          <w:color w:val="1A2733"/>
          <w:sz w:val="21"/>
          <w:szCs w:val="21"/>
          <w:rtl/>
        </w:rPr>
        <w:t xml:space="preserve">מסמך זה (VDD) מתעד את גרסת התוכנה של פורטל הלקוחות של מפ״י כפי שנפרסה לפרודקשן, ומרכז את אוסף הפונקציונליות שפותחה במהלך השבוע האחרון (18–23 באוגוסט 2026). המסמך משמש כרשומת תצורה (Configuration Management) לצורכי מעקב, בקרה ומסירה.</w:t>
      </w:r>
    </w:p>
    <w:p>
      <w:pPr>
        <w:bidi/>
        <w:spacing w:after="120" w:before="0" w:line="276"/>
        <w:jc w:val="right"/>
      </w:pPr>
      <w:r>
        <w:rPr>
          <w:rFonts w:ascii="Arial" w:cs="Arial" w:eastAsia="Arial" w:hAnsi="Arial"/>
          <w:color w:val="1A2733"/>
          <w:sz w:val="21"/>
          <w:szCs w:val="21"/>
          <w:rtl/>
        </w:rPr>
        <w:t xml:space="preserve">היישום הוא פורטל לקוחות מבוסס Next.js 14 (App Router) המתארח ב־Vercel, עם מסד נתונים PostgreSQL, כדמונסטרטור למימוש עתידי ב־Salesforce.</w:t>
      </w:r>
    </w:p>
    <w:p>
      <w:pPr>
        <w:pBdr>
          <w:bottom w:val="single" w:color="9A7B33" w:sz="6" w:space="4"/>
        </w:pBdr>
        <w:bidi/>
        <w:spacing w:after="100" w:before="240"/>
        <w:jc w:val="right"/>
      </w:pPr>
      <w:r>
        <w:rPr>
          <w:rFonts w:ascii="Arial" w:cs="Arial" w:eastAsia="Arial" w:hAnsi="Arial"/>
          <w:b/>
          <w:bCs/>
          <w:color w:val="0B3A5E"/>
          <w:sz w:val="25"/>
          <w:szCs w:val="25"/>
          <w:rtl/>
        </w:rPr>
        <w:t xml:space="preserve">2. זיהוי הגרסה והסביבות</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C9D6E2" w:sz="4"/>
              <w:left w:val="single" w:color="C9D6E2" w:sz="4"/>
              <w:bottom w:val="single" w:color="C9D6E2" w:sz="4"/>
              <w:right w:val="single" w:color="C9D6E2" w:sz="4"/>
            </w:tcBorders>
            <w:shd w:fill="0B3A5E" w:color="auto" w:val="clear"/>
            <w:tcMar>
              <w:top w:type="dxa" w:w="60"/>
              <w:left w:type="dxa" w:w="100"/>
              <w:bottom w:type="dxa" w:w="60"/>
              <w:right w:type="dxa" w:w="100"/>
            </w:tcMar>
          </w:tcPr>
          <w:p>
            <w:pPr>
              <w:bidi/>
              <w:spacing w:after="0" w:line="260"/>
              <w:jc w:val="right"/>
            </w:pPr>
            <w:r>
              <w:rPr>
                <w:rFonts w:ascii="Arial" w:cs="Arial" w:eastAsia="Arial" w:hAnsi="Arial"/>
                <w:b/>
                <w:bCs/>
                <w:color w:val="FFFFFF"/>
                <w:sz w:val="19"/>
                <w:szCs w:val="19"/>
                <w:rtl/>
              </w:rPr>
              <w:t xml:space="preserve">פריט</w:t>
            </w:r>
          </w:p>
        </w:tc>
        <w:tc>
          <w:tcPr>
            <w:tcW w:type="dxa" w:w="6700"/>
            <w:tcBorders>
              <w:top w:val="single" w:color="C9D6E2" w:sz="4"/>
              <w:left w:val="single" w:color="C9D6E2" w:sz="4"/>
              <w:bottom w:val="single" w:color="C9D6E2" w:sz="4"/>
              <w:right w:val="single" w:color="C9D6E2" w:sz="4"/>
            </w:tcBorders>
            <w:shd w:fill="0B3A5E" w:color="auto" w:val="clear"/>
            <w:tcMar>
              <w:top w:type="dxa" w:w="60"/>
              <w:left w:type="dxa" w:w="100"/>
              <w:bottom w:type="dxa" w:w="60"/>
              <w:right w:type="dxa" w:w="100"/>
            </w:tcMar>
          </w:tcPr>
          <w:p>
            <w:pPr>
              <w:bidi/>
              <w:spacing w:after="0" w:line="260"/>
              <w:jc w:val="right"/>
            </w:pPr>
            <w:r>
              <w:rPr>
                <w:rFonts w:ascii="Arial" w:cs="Arial" w:eastAsia="Arial" w:hAnsi="Arial"/>
                <w:b/>
                <w:bCs/>
                <w:color w:val="FFFFFF"/>
                <w:sz w:val="19"/>
                <w:szCs w:val="19"/>
                <w:rtl/>
              </w:rPr>
              <w:t xml:space="preserve">ערך</w:t>
            </w:r>
          </w:p>
        </w:tc>
      </w:tr>
      <w:tr>
        <w:trPr>
          <w:tblHeader w:val="false"/>
        </w:trPr>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מזהה גרסה (commit)</w:t>
            </w:r>
          </w:p>
        </w:tc>
        <w:tc>
          <w:tcPr>
            <w:tcW w:type="dxa" w:w="6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66562f4</w:t>
            </w:r>
          </w:p>
        </w:tc>
      </w:tr>
      <w:tr>
        <w:trPr>
          <w:tblHeader w:val="false"/>
        </w:trPr>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מאגר קוד (Git)</w:t>
            </w:r>
          </w:p>
        </w:tc>
        <w:tc>
          <w:tcPr>
            <w:tcW w:type="dxa" w:w="6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github.com/hitprojectscenter-beep/mapi-customer-portal-poc</w:t>
            </w:r>
          </w:p>
        </w:tc>
      </w:tr>
      <w:tr>
        <w:trPr>
          <w:tblHeader w:val="false"/>
        </w:trPr>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כתובת פרודקשן</w:t>
            </w:r>
          </w:p>
        </w:tc>
        <w:tc>
          <w:tcPr>
            <w:tcW w:type="dxa" w:w="6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mapi-customer-portal-poc.vercel.app</w:t>
            </w:r>
          </w:p>
        </w:tc>
      </w:tr>
      <w:tr>
        <w:trPr>
          <w:tblHeader w:val="false"/>
        </w:trPr>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ענפי סביבה</w:t>
            </w:r>
          </w:p>
        </w:tc>
        <w:tc>
          <w:tcPr>
            <w:tcW w:type="dxa" w:w="6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main / prod (פרודקשן) · test (בדיקות) · dev (פיתוח)</w:t>
            </w:r>
          </w:p>
        </w:tc>
      </w:tr>
      <w:tr>
        <w:trPr>
          <w:tblHeader w:val="false"/>
        </w:trPr>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מסגרת ותשתית</w:t>
            </w:r>
          </w:p>
        </w:tc>
        <w:tc>
          <w:tcPr>
            <w:tcW w:type="dxa" w:w="6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Next.js 14.2.35 · React 18 · PostgreSQL · Vercel</w:t>
            </w:r>
          </w:p>
        </w:tc>
      </w:tr>
      <w:tr>
        <w:trPr>
          <w:tblHeader w:val="false"/>
        </w:trPr>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סטטוס פריסה</w:t>
            </w:r>
          </w:p>
        </w:tc>
        <w:tc>
          <w:tcPr>
            <w:tcW w:type="dxa" w:w="6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נפרס ואומת חי בפרודקשן</w:t>
            </w:r>
          </w:p>
        </w:tc>
      </w:tr>
    </w:tbl>
    <w:p>
      <w:pPr>
        <w:pBdr>
          <w:bottom w:val="single" w:color="9A7B33" w:sz="6" w:space="4"/>
        </w:pBdr>
        <w:bidi/>
        <w:spacing w:after="100" w:before="240"/>
        <w:jc w:val="right"/>
      </w:pPr>
      <w:r>
        <w:rPr>
          <w:rFonts w:ascii="Arial" w:cs="Arial" w:eastAsia="Arial" w:hAnsi="Arial"/>
          <w:b/>
          <w:bCs/>
          <w:color w:val="0B3A5E"/>
          <w:sz w:val="25"/>
          <w:szCs w:val="25"/>
          <w:rtl/>
        </w:rPr>
        <w:t xml:space="preserve">3. אוסף הפונקציונליות שפותחה בשבוע האחרון</w:t>
      </w:r>
    </w:p>
    <w:p>
      <w:pPr>
        <w:bidi/>
        <w:spacing w:after="120" w:before="0" w:line="276"/>
        <w:jc w:val="right"/>
      </w:pPr>
      <w:r>
        <w:rPr>
          <w:rFonts w:ascii="Arial" w:cs="Arial" w:eastAsia="Arial" w:hAnsi="Arial"/>
          <w:color w:val="1A2733"/>
          <w:sz w:val="21"/>
          <w:szCs w:val="21"/>
          <w:rtl/>
        </w:rPr>
        <w:t xml:space="preserve">להלן היכולות המרכזיות שפותחו, נבדקו ונפרסו במהלך התקופה, מקובצות לפי נושא:</w:t>
      </w:r>
    </w:p>
    <w:p>
      <w:pPr>
        <w:bidi/>
        <w:spacing w:after="60" w:before="140"/>
        <w:jc w:val="right"/>
      </w:pPr>
      <w:r>
        <w:rPr>
          <w:rFonts w:ascii="Arial" w:cs="Arial" w:eastAsia="Arial" w:hAnsi="Arial"/>
          <w:b/>
          <w:bCs/>
          <w:color w:val="9A7B33"/>
          <w:sz w:val="22"/>
          <w:szCs w:val="22"/>
          <w:rtl/>
        </w:rPr>
        <w:t xml:space="preserve">3.1  קטלוג מוצרים מנוהל מבוסס מסד נתונים</w:t>
      </w:r>
    </w:p>
    <w:p>
      <w:pPr>
        <w:bidi/>
        <w:spacing w:after="120" w:before="0" w:line="276"/>
        <w:jc w:val="right"/>
      </w:pPr>
      <w:r>
        <w:rPr>
          <w:rFonts w:ascii="Arial" w:cs="Arial" w:eastAsia="Arial" w:hAnsi="Arial"/>
          <w:b/>
          <w:bCs/>
          <w:color w:val="1A2733"/>
          <w:sz w:val="21"/>
          <w:szCs w:val="21"/>
          <w:rtl/>
        </w:rPr>
        <w:t xml:space="preserve">הקטלוג הוסב מרשימה קשיחה בקוד לקטלוג מבוסס PostgreSQL הניתן לניהול מלא דרך ממשק הניהול (CMS), ללא צורך בפריסה מחדש:</w:t>
      </w:r>
    </w:p>
    <w:p>
      <w:pPr>
        <w:pStyle w:val="ListParagraph"/>
        <w:numPr>
          <w:ilvl w:val="0"/>
          <w:numId w:val="1"/>
        </w:numPr>
        <w:bidi/>
        <w:spacing w:after="60" w:line="276"/>
        <w:jc w:val="right"/>
      </w:pPr>
      <w:r>
        <w:rPr>
          <w:rFonts w:ascii="Arial" w:cs="Arial" w:eastAsia="Arial" w:hAnsi="Arial"/>
          <w:color w:val="1A2733"/>
          <w:sz w:val="21"/>
          <w:szCs w:val="21"/>
          <w:rtl/>
        </w:rPr>
        <w:t xml:space="preserve">טבלת products ב־PostgreSQL עם שכבת CRUD מלאה (יצירה/קריאה/עדכון/מחיקה).</w:t>
      </w:r>
    </w:p>
    <w:p>
      <w:pPr>
        <w:pStyle w:val="ListParagraph"/>
        <w:numPr>
          <w:ilvl w:val="0"/>
          <w:numId w:val="1"/>
        </w:numPr>
        <w:bidi/>
        <w:spacing w:after="60" w:line="276"/>
        <w:jc w:val="right"/>
      </w:pPr>
      <w:r>
        <w:rPr>
          <w:rFonts w:ascii="Arial" w:cs="Arial" w:eastAsia="Arial" w:hAnsi="Arial"/>
          <w:color w:val="1A2733"/>
          <w:sz w:val="21"/>
          <w:szCs w:val="21"/>
          <w:rtl/>
        </w:rPr>
        <w:t xml:space="preserve">API ציבורי לקריאה (GET /api/products) + API ניהולי מאובטח (POST/PUT/DELETE) המוגן בהרשאת CMS.</w:t>
      </w:r>
    </w:p>
    <w:p>
      <w:pPr>
        <w:pStyle w:val="ListParagraph"/>
        <w:numPr>
          <w:ilvl w:val="0"/>
          <w:numId w:val="1"/>
        </w:numPr>
        <w:bidi/>
        <w:spacing w:after="60" w:line="276"/>
        <w:jc w:val="right"/>
      </w:pPr>
      <w:r>
        <w:rPr>
          <w:rFonts w:ascii="Arial" w:cs="Arial" w:eastAsia="Arial" w:hAnsi="Arial"/>
          <w:color w:val="1A2733"/>
          <w:sz w:val="21"/>
          <w:szCs w:val="21"/>
          <w:rtl/>
        </w:rPr>
        <w:t xml:space="preserve">מסך ניהול חדש ב־CMS — “מוצרים ושירותים” — הוספה, עריכה ומחיקה בזמן אמת.</w:t>
      </w:r>
    </w:p>
    <w:p>
      <w:pPr>
        <w:pStyle w:val="ListParagraph"/>
        <w:numPr>
          <w:ilvl w:val="0"/>
          <w:numId w:val="1"/>
        </w:numPr>
        <w:bidi/>
        <w:spacing w:after="60" w:line="276"/>
        <w:jc w:val="right"/>
      </w:pPr>
      <w:r>
        <w:rPr>
          <w:rFonts w:ascii="Arial" w:cs="Arial" w:eastAsia="Arial" w:hAnsi="Arial"/>
          <w:color w:val="1A2733"/>
          <w:sz w:val="21"/>
          <w:szCs w:val="21"/>
          <w:rtl/>
        </w:rPr>
        <w:t xml:space="preserve">ולידציה וסניטציה בצד השרת (חסימת javascript:/data: בקישורים חיצוניים).</w:t>
      </w:r>
    </w:p>
    <w:p>
      <w:pPr>
        <w:pStyle w:val="ListParagraph"/>
        <w:numPr>
          <w:ilvl w:val="0"/>
          <w:numId w:val="1"/>
        </w:numPr>
        <w:bidi/>
        <w:spacing w:after="60" w:line="276"/>
        <w:jc w:val="right"/>
      </w:pPr>
      <w:r>
        <w:rPr>
          <w:rFonts w:ascii="Arial" w:cs="Arial" w:eastAsia="Arial" w:hAnsi="Arial"/>
          <w:color w:val="1A2733"/>
          <w:sz w:val="21"/>
          <w:szCs w:val="21"/>
          <w:rtl/>
        </w:rPr>
        <w:t xml:space="preserve">יישור הקטלוג לרשימת המוצרים הרשמית של מפ״י — 23 מוצרים (מפות טופוגרפיות, תיור, יישובים, אורתופוטו, GIS, קדסטר, תעודות ועוד).</w:t>
      </w:r>
    </w:p>
    <w:p>
      <w:pPr>
        <w:bidi/>
        <w:spacing w:after="60" w:before="140"/>
        <w:jc w:val="right"/>
      </w:pPr>
      <w:r>
        <w:rPr>
          <w:rFonts w:ascii="Arial" w:cs="Arial" w:eastAsia="Arial" w:hAnsi="Arial"/>
          <w:b/>
          <w:bCs/>
          <w:color w:val="9A7B33"/>
          <w:sz w:val="22"/>
          <w:szCs w:val="22"/>
          <w:rtl/>
        </w:rPr>
        <w:t xml:space="preserve">3.2  זרימת הזמנה — מעבר לטפסים הרשמיים</w:t>
      </w:r>
    </w:p>
    <w:p>
      <w:pPr>
        <w:pStyle w:val="ListParagraph"/>
        <w:numPr>
          <w:ilvl w:val="0"/>
          <w:numId w:val="1"/>
        </w:numPr>
        <w:bidi/>
        <w:spacing w:after="60" w:line="276"/>
        <w:jc w:val="right"/>
      </w:pPr>
      <w:r>
        <w:rPr>
          <w:rFonts w:ascii="Arial" w:cs="Arial" w:eastAsia="Arial" w:hAnsi="Arial"/>
          <w:color w:val="1A2733"/>
          <w:sz w:val="21"/>
          <w:szCs w:val="21"/>
          <w:rtl/>
        </w:rPr>
        <w:t xml:space="preserve">כל מוצר מציג “מעבר להזמנה” הפותח את הטופס הממשלתי המקורי (govforms) בלשונית חדשה — אותו טופס שאליו מגיעים מהאתר הקיים.</w:t>
      </w:r>
    </w:p>
    <w:p>
      <w:pPr>
        <w:pStyle w:val="ListParagraph"/>
        <w:numPr>
          <w:ilvl w:val="0"/>
          <w:numId w:val="1"/>
        </w:numPr>
        <w:bidi/>
        <w:spacing w:after="60" w:line="276"/>
        <w:jc w:val="right"/>
      </w:pPr>
      <w:r>
        <w:rPr>
          <w:rFonts w:ascii="Arial" w:cs="Arial" w:eastAsia="Arial" w:hAnsi="Arial"/>
          <w:color w:val="1A2733"/>
          <w:sz w:val="21"/>
          <w:szCs w:val="21"/>
          <w:rtl/>
        </w:rPr>
        <w:t xml:space="preserve">אשף ההזמנה הפנימי הושבת (מוצג במצב “בפיתוח”) בהתאם למדיניות הנוכחית.</w:t>
      </w:r>
    </w:p>
    <w:p>
      <w:pPr>
        <w:pStyle w:val="ListParagraph"/>
        <w:numPr>
          <w:ilvl w:val="0"/>
          <w:numId w:val="1"/>
        </w:numPr>
        <w:bidi/>
        <w:spacing w:after="60" w:line="276"/>
        <w:jc w:val="right"/>
      </w:pPr>
      <w:r>
        <w:rPr>
          <w:rFonts w:ascii="Arial" w:cs="Arial" w:eastAsia="Arial" w:hAnsi="Arial"/>
          <w:color w:val="1A2733"/>
          <w:sz w:val="21"/>
          <w:szCs w:val="21"/>
          <w:rtl/>
        </w:rPr>
        <w:t xml:space="preserve">תיקון באג: שירות “נסח טב״ו בקליק” — כעת נפתח אך ורק בלשונית חדשה (nadlan.gov.il) והפורטל נשאר במקומו, ללא ניווט כפול.</w:t>
      </w:r>
    </w:p>
    <w:p>
      <w:pPr>
        <w:bidi/>
        <w:spacing w:after="60" w:before="140"/>
        <w:jc w:val="right"/>
      </w:pPr>
      <w:r>
        <w:rPr>
          <w:rFonts w:ascii="Arial" w:cs="Arial" w:eastAsia="Arial" w:hAnsi="Arial"/>
          <w:b/>
          <w:bCs/>
          <w:color w:val="9A7B33"/>
          <w:sz w:val="22"/>
          <w:szCs w:val="22"/>
          <w:rtl/>
        </w:rPr>
        <w:t xml:space="preserve">3.3  שירותים ותוכן</w:t>
      </w:r>
    </w:p>
    <w:p>
      <w:pPr>
        <w:pStyle w:val="ListParagraph"/>
        <w:numPr>
          <w:ilvl w:val="0"/>
          <w:numId w:val="1"/>
        </w:numPr>
        <w:bidi/>
        <w:spacing w:after="60" w:line="276"/>
        <w:jc w:val="right"/>
      </w:pPr>
      <w:r>
        <w:rPr>
          <w:rFonts w:ascii="Arial" w:cs="Arial" w:eastAsia="Arial" w:hAnsi="Arial"/>
          <w:color w:val="1A2733"/>
          <w:sz w:val="21"/>
          <w:szCs w:val="21"/>
          <w:rtl/>
        </w:rPr>
        <w:t xml:space="preserve">שירות חדש בקטלוג: “נסח טב״ו בקליק” → הפניה לאתר הנדל״ן הממשלתי.</w:t>
      </w:r>
    </w:p>
    <w:p>
      <w:pPr>
        <w:pStyle w:val="ListParagraph"/>
        <w:numPr>
          <w:ilvl w:val="0"/>
          <w:numId w:val="1"/>
        </w:numPr>
        <w:bidi/>
        <w:spacing w:after="60" w:line="276"/>
        <w:jc w:val="right"/>
      </w:pPr>
      <w:r>
        <w:rPr>
          <w:rFonts w:ascii="Arial" w:cs="Arial" w:eastAsia="Arial" w:hAnsi="Arial"/>
          <w:color w:val="1A2733"/>
          <w:sz w:val="21"/>
          <w:szCs w:val="21"/>
          <w:rtl/>
        </w:rPr>
        <w:t xml:space="preserve">עדכון כותרת ראשית: “פורטל למידע הגאוגרפי הלאומי” (מסונכרן ב־6 שפות).</w:t>
      </w:r>
    </w:p>
    <w:p>
      <w:pPr>
        <w:bidi/>
        <w:spacing w:after="60" w:before="140"/>
        <w:jc w:val="right"/>
      </w:pPr>
      <w:r>
        <w:rPr>
          <w:rFonts w:ascii="Arial" w:cs="Arial" w:eastAsia="Arial" w:hAnsi="Arial"/>
          <w:b/>
          <w:bCs/>
          <w:color w:val="9A7B33"/>
          <w:sz w:val="22"/>
          <w:szCs w:val="22"/>
          <w:rtl/>
        </w:rPr>
        <w:t xml:space="preserve">3.4  תשתית סביבות ו־DevOps</w:t>
      </w:r>
    </w:p>
    <w:p>
      <w:pPr>
        <w:pStyle w:val="ListParagraph"/>
        <w:numPr>
          <w:ilvl w:val="0"/>
          <w:numId w:val="1"/>
        </w:numPr>
        <w:bidi/>
        <w:spacing w:after="60" w:line="276"/>
        <w:jc w:val="right"/>
      </w:pPr>
      <w:r>
        <w:rPr>
          <w:rFonts w:ascii="Arial" w:cs="Arial" w:eastAsia="Arial" w:hAnsi="Arial"/>
          <w:color w:val="1A2733"/>
          <w:sz w:val="21"/>
          <w:szCs w:val="21"/>
          <w:rtl/>
        </w:rPr>
        <w:t xml:space="preserve">הוקמו שלוש סביבות git — dev / test / prod — עם תהליך קידום מסודר dev → test → prod.</w:t>
      </w:r>
    </w:p>
    <w:p>
      <w:pPr>
        <w:pStyle w:val="ListParagraph"/>
        <w:numPr>
          <w:ilvl w:val="0"/>
          <w:numId w:val="1"/>
        </w:numPr>
        <w:bidi/>
        <w:spacing w:after="60" w:line="276"/>
        <w:jc w:val="right"/>
      </w:pPr>
      <w:r>
        <w:rPr>
          <w:rFonts w:ascii="Arial" w:cs="Arial" w:eastAsia="Arial" w:hAnsi="Arial"/>
          <w:color w:val="1A2733"/>
          <w:sz w:val="21"/>
          <w:szCs w:val="21"/>
          <w:rtl/>
        </w:rPr>
        <w:t xml:space="preserve">מזהה סביבה במסך הניהול (תגית “סביבה: פרודקשן/בדיקות/פיתוח”, אדומה בפרודקשן) — מונע עריכת נתוני פרודקשן בטעות.</w:t>
      </w:r>
    </w:p>
    <w:p>
      <w:pPr>
        <w:pStyle w:val="ListParagraph"/>
        <w:numPr>
          <w:ilvl w:val="0"/>
          <w:numId w:val="1"/>
        </w:numPr>
        <w:bidi/>
        <w:spacing w:after="60" w:line="276"/>
        <w:jc w:val="right"/>
      </w:pPr>
      <w:r>
        <w:rPr>
          <w:rFonts w:ascii="Arial" w:cs="Arial" w:eastAsia="Arial" w:hAnsi="Arial"/>
          <w:color w:val="1A2733"/>
          <w:sz w:val="21"/>
          <w:szCs w:val="21"/>
          <w:rtl/>
        </w:rPr>
        <w:t xml:space="preserve">מדריך הקמה מלא להפרדת מסדי נתונים בין הסביבות (docs/ENVIRONMENTS.md).</w:t>
      </w:r>
    </w:p>
    <w:p>
      <w:pPr>
        <w:bidi/>
        <w:spacing w:after="60" w:before="140"/>
        <w:jc w:val="right"/>
      </w:pPr>
      <w:r>
        <w:rPr>
          <w:rFonts w:ascii="Arial" w:cs="Arial" w:eastAsia="Arial" w:hAnsi="Arial"/>
          <w:b/>
          <w:bCs/>
          <w:color w:val="9A7B33"/>
          <w:sz w:val="22"/>
          <w:szCs w:val="22"/>
          <w:rtl/>
        </w:rPr>
        <w:t xml:space="preserve">3.5  אבטחת מידע ואיכות</w:t>
      </w:r>
    </w:p>
    <w:p>
      <w:pPr>
        <w:pStyle w:val="ListParagraph"/>
        <w:numPr>
          <w:ilvl w:val="0"/>
          <w:numId w:val="1"/>
        </w:numPr>
        <w:bidi/>
        <w:spacing w:after="60" w:line="276"/>
        <w:jc w:val="right"/>
      </w:pPr>
      <w:r>
        <w:rPr>
          <w:rFonts w:ascii="Arial" w:cs="Arial" w:eastAsia="Arial" w:hAnsi="Arial"/>
          <w:color w:val="1A2733"/>
          <w:sz w:val="21"/>
          <w:szCs w:val="21"/>
          <w:rtl/>
        </w:rPr>
        <w:t xml:space="preserve">תיקון 3 חולשות CVE ברמת חומרה גבוהה בספריית postcss (שדרוג ל־8.5.26 + override).</w:t>
      </w:r>
    </w:p>
    <w:p>
      <w:pPr>
        <w:pStyle w:val="ListParagraph"/>
        <w:numPr>
          <w:ilvl w:val="0"/>
          <w:numId w:val="1"/>
        </w:numPr>
        <w:bidi/>
        <w:spacing w:after="60" w:line="276"/>
        <w:jc w:val="right"/>
      </w:pPr>
      <w:r>
        <w:rPr>
          <w:rFonts w:ascii="Arial" w:cs="Arial" w:eastAsia="Arial" w:hAnsi="Arial"/>
          <w:color w:val="1A2733"/>
          <w:sz w:val="21"/>
          <w:szCs w:val="21"/>
          <w:rtl/>
        </w:rPr>
        <w:t xml:space="preserve">מבדקי חדירות ואבטחת מידע (grey-box) על פרודקשן וסביבת test, ברמת דרישות גופים ממשלתיים/מ״ק — כל הווקטורים עברו (בקרת גישה, הזרקה, כותרות, סשן).</w:t>
      </w:r>
    </w:p>
    <w:p>
      <w:pPr>
        <w:pStyle w:val="ListParagraph"/>
        <w:numPr>
          <w:ilvl w:val="0"/>
          <w:numId w:val="1"/>
        </w:numPr>
        <w:bidi/>
        <w:spacing w:after="60" w:line="276"/>
        <w:jc w:val="right"/>
      </w:pPr>
      <w:r>
        <w:rPr>
          <w:rFonts w:ascii="Arial" w:cs="Arial" w:eastAsia="Arial" w:hAnsi="Arial"/>
          <w:color w:val="1A2733"/>
          <w:sz w:val="21"/>
          <w:szCs w:val="21"/>
          <w:rtl/>
        </w:rPr>
        <w:t xml:space="preserve">עדכון בדיקות E2E (Playwright) בהתאם לזרימת ההזמנה החדשה.</w:t>
      </w:r>
    </w:p>
    <w:p>
      <w:pPr>
        <w:pStyle w:val="ListParagraph"/>
        <w:numPr>
          <w:ilvl w:val="0"/>
          <w:numId w:val="1"/>
        </w:numPr>
        <w:bidi/>
        <w:spacing w:after="60" w:line="276"/>
        <w:jc w:val="right"/>
      </w:pPr>
      <w:r>
        <w:rPr>
          <w:rFonts w:ascii="Arial" w:cs="Arial" w:eastAsia="Arial" w:hAnsi="Arial"/>
          <w:color w:val="1A2733"/>
          <w:sz w:val="21"/>
          <w:szCs w:val="21"/>
          <w:rtl/>
        </w:rPr>
        <w:t xml:space="preserve">תיעוד מלא של משתני הסביבה (.env.example).</w:t>
      </w:r>
    </w:p>
    <w:p>
      <w:r>
        <w:br w:type="page"/>
      </w:r>
    </w:p>
    <w:p>
      <w:pPr>
        <w:pBdr>
          <w:bottom w:val="single" w:color="9A7B33" w:sz="6" w:space="4"/>
        </w:pBdr>
        <w:bidi/>
        <w:spacing w:after="100" w:before="240"/>
        <w:jc w:val="right"/>
      </w:pPr>
      <w:r>
        <w:rPr>
          <w:rFonts w:ascii="Arial" w:cs="Arial" w:eastAsia="Arial" w:hAnsi="Arial"/>
          <w:b/>
          <w:bCs/>
          <w:color w:val="0B3A5E"/>
          <w:sz w:val="25"/>
          <w:szCs w:val="25"/>
          <w:rtl/>
        </w:rPr>
        <w:t xml:space="preserve">4. בעיות ידועות ומגבלות</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2800"/>
      </w:tblGrid>
      <w:tr>
        <w:trPr>
          <w:tblHeader/>
        </w:trPr>
        <w:tc>
          <w:tcPr>
            <w:tcW w:type="dxa" w:w="2100"/>
            <w:tcBorders>
              <w:top w:val="single" w:color="C9D6E2" w:sz="4"/>
              <w:left w:val="single" w:color="C9D6E2" w:sz="4"/>
              <w:bottom w:val="single" w:color="C9D6E2" w:sz="4"/>
              <w:right w:val="single" w:color="C9D6E2" w:sz="4"/>
            </w:tcBorders>
            <w:shd w:fill="0B3A5E" w:color="auto" w:val="clear"/>
            <w:tcMar>
              <w:top w:type="dxa" w:w="60"/>
              <w:left w:type="dxa" w:w="100"/>
              <w:bottom w:type="dxa" w:w="60"/>
              <w:right w:type="dxa" w:w="100"/>
            </w:tcMar>
          </w:tcPr>
          <w:p>
            <w:pPr>
              <w:bidi/>
              <w:spacing w:after="0" w:line="260"/>
              <w:jc w:val="right"/>
            </w:pPr>
            <w:r>
              <w:rPr>
                <w:rFonts w:ascii="Arial" w:cs="Arial" w:eastAsia="Arial" w:hAnsi="Arial"/>
                <w:b/>
                <w:bCs/>
                <w:color w:val="FFFFFF"/>
                <w:sz w:val="19"/>
                <w:szCs w:val="19"/>
                <w:rtl/>
              </w:rPr>
              <w:t xml:space="preserve">פריט</w:t>
            </w:r>
          </w:p>
        </w:tc>
        <w:tc>
          <w:tcPr>
            <w:tcW w:type="dxa" w:w="4400"/>
            <w:tcBorders>
              <w:top w:val="single" w:color="C9D6E2" w:sz="4"/>
              <w:left w:val="single" w:color="C9D6E2" w:sz="4"/>
              <w:bottom w:val="single" w:color="C9D6E2" w:sz="4"/>
              <w:right w:val="single" w:color="C9D6E2" w:sz="4"/>
            </w:tcBorders>
            <w:shd w:fill="0B3A5E" w:color="auto" w:val="clear"/>
            <w:tcMar>
              <w:top w:type="dxa" w:w="60"/>
              <w:left w:type="dxa" w:w="100"/>
              <w:bottom w:type="dxa" w:w="60"/>
              <w:right w:type="dxa" w:w="100"/>
            </w:tcMar>
          </w:tcPr>
          <w:p>
            <w:pPr>
              <w:bidi/>
              <w:spacing w:after="0" w:line="260"/>
              <w:jc w:val="right"/>
            </w:pPr>
            <w:r>
              <w:rPr>
                <w:rFonts w:ascii="Arial" w:cs="Arial" w:eastAsia="Arial" w:hAnsi="Arial"/>
                <w:b/>
                <w:bCs/>
                <w:color w:val="FFFFFF"/>
                <w:sz w:val="19"/>
                <w:szCs w:val="19"/>
                <w:rtl/>
              </w:rPr>
              <w:t xml:space="preserve">תיאור</w:t>
            </w:r>
          </w:p>
        </w:tc>
        <w:tc>
          <w:tcPr>
            <w:tcW w:type="dxa" w:w="2800"/>
            <w:tcBorders>
              <w:top w:val="single" w:color="C9D6E2" w:sz="4"/>
              <w:left w:val="single" w:color="C9D6E2" w:sz="4"/>
              <w:bottom w:val="single" w:color="C9D6E2" w:sz="4"/>
              <w:right w:val="single" w:color="C9D6E2" w:sz="4"/>
            </w:tcBorders>
            <w:shd w:fill="0B3A5E" w:color="auto" w:val="clear"/>
            <w:tcMar>
              <w:top w:type="dxa" w:w="60"/>
              <w:left w:type="dxa" w:w="100"/>
              <w:bottom w:type="dxa" w:w="60"/>
              <w:right w:type="dxa" w:w="100"/>
            </w:tcMar>
          </w:tcPr>
          <w:p>
            <w:pPr>
              <w:bidi/>
              <w:spacing w:after="0" w:line="260"/>
              <w:jc w:val="right"/>
            </w:pPr>
            <w:r>
              <w:rPr>
                <w:rFonts w:ascii="Arial" w:cs="Arial" w:eastAsia="Arial" w:hAnsi="Arial"/>
                <w:b/>
                <w:bCs/>
                <w:color w:val="FFFFFF"/>
                <w:sz w:val="19"/>
                <w:szCs w:val="19"/>
                <w:rtl/>
              </w:rPr>
              <w:t xml:space="preserve">סטטוס / המלצה</w:t>
            </w:r>
          </w:p>
        </w:tc>
      </w:tr>
      <w:tr>
        <w:trPr>
          <w:tblHeader w:val="false"/>
        </w:trPr>
        <w:tc>
          <w:tcPr>
            <w:tcW w:type="dxa" w:w="21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הפרדת מסדי נתונים</w:t>
            </w:r>
          </w:p>
        </w:tc>
        <w:tc>
          <w:tcPr>
            <w:tcW w:type="dxa" w:w="44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dev/test/prod חולקים כרגע אותו PostgreSQL</w:t>
            </w:r>
          </w:p>
        </w:tc>
        <w:tc>
          <w:tcPr>
            <w:tcW w:type="dxa" w:w="28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פתוח — להקים DB נפרד לכל סביבה (מדריך צורף)</w:t>
            </w:r>
          </w:p>
        </w:tc>
      </w:tr>
      <w:tr>
        <w:trPr>
          <w:tblHeader w:val="false"/>
        </w:trPr>
        <w:tc>
          <w:tcPr>
            <w:tcW w:type="dxa" w:w="21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התראות מסגרת Next.js</w:t>
            </w:r>
          </w:p>
        </w:tc>
        <w:tc>
          <w:tcPr>
            <w:tcW w:type="dxa" w:w="44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צבר CVE (רובם DoS/שרת מותאם, לא רלוונטי ב־Vercel)</w:t>
            </w:r>
          </w:p>
        </w:tc>
        <w:tc>
          <w:tcPr>
            <w:tcW w:type="dxa" w:w="28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סיכון מבוקר — שדרוג מבוקר מומלץ</w:t>
            </w:r>
          </w:p>
        </w:tc>
      </w:tr>
      <w:tr>
        <w:trPr>
          <w:tblHeader w:val="false"/>
        </w:trPr>
        <w:tc>
          <w:tcPr>
            <w:tcW w:type="dxa" w:w="21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מדיניות CSP</w:t>
            </w:r>
          </w:p>
        </w:tc>
        <w:tc>
          <w:tcPr>
            <w:tcW w:type="dxa" w:w="44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מתירה 'unsafe-inline' לסקריפטים</w:t>
            </w:r>
          </w:p>
        </w:tc>
        <w:tc>
          <w:tcPr>
            <w:tcW w:type="dxa" w:w="28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נמוך — מעבר ל־CSP מבוסס nonce</w:t>
            </w:r>
          </w:p>
        </w:tc>
      </w:tr>
    </w:tbl>
    <w:p>
      <w:pPr>
        <w:pBdr>
          <w:bottom w:val="single" w:color="9A7B33" w:sz="6" w:space="4"/>
        </w:pBdr>
        <w:bidi/>
        <w:spacing w:after="100" w:before="240"/>
        <w:jc w:val="right"/>
      </w:pPr>
      <w:r>
        <w:rPr>
          <w:rFonts w:ascii="Arial" w:cs="Arial" w:eastAsia="Arial" w:hAnsi="Arial"/>
          <w:b/>
          <w:bCs/>
          <w:color w:val="0B3A5E"/>
          <w:sz w:val="25"/>
          <w:szCs w:val="25"/>
          <w:rtl/>
        </w:rPr>
        <w:t xml:space="preserve">5. הוראות פריסה</w:t>
      </w:r>
    </w:p>
    <w:p>
      <w:pPr>
        <w:pStyle w:val="ListParagraph"/>
        <w:numPr>
          <w:ilvl w:val="0"/>
          <w:numId w:val="1"/>
        </w:numPr>
        <w:bidi/>
        <w:spacing w:after="60" w:line="276"/>
        <w:jc w:val="right"/>
      </w:pPr>
      <w:r>
        <w:rPr>
          <w:rFonts w:ascii="Arial" w:cs="Arial" w:eastAsia="Arial" w:hAnsi="Arial"/>
          <w:color w:val="1A2733"/>
          <w:sz w:val="21"/>
          <w:szCs w:val="21"/>
          <w:rtl/>
        </w:rPr>
        <w:t xml:space="preserve">פיתוח על ענף dev → מיזוג ל־test (בדיקות) → מיזוג ל־main (פרודקשן).</w:t>
      </w:r>
    </w:p>
    <w:p>
      <w:pPr>
        <w:pStyle w:val="ListParagraph"/>
        <w:numPr>
          <w:ilvl w:val="0"/>
          <w:numId w:val="1"/>
        </w:numPr>
        <w:bidi/>
        <w:spacing w:after="60" w:line="276"/>
        <w:jc w:val="right"/>
      </w:pPr>
      <w:r>
        <w:rPr>
          <w:rFonts w:ascii="Arial" w:cs="Arial" w:eastAsia="Arial" w:hAnsi="Arial"/>
          <w:color w:val="1A2733"/>
          <w:sz w:val="21"/>
          <w:szCs w:val="21"/>
          <w:rtl/>
        </w:rPr>
        <w:t xml:space="preserve">Vercel פורס אוטומטית: push ל־main → פרודקשן; push ל־dev/test → סביבות Preview מוגנות SSO.</w:t>
      </w:r>
    </w:p>
    <w:p>
      <w:pPr>
        <w:pStyle w:val="ListParagraph"/>
        <w:numPr>
          <w:ilvl w:val="0"/>
          <w:numId w:val="1"/>
        </w:numPr>
        <w:bidi/>
        <w:spacing w:after="60" w:line="276"/>
        <w:jc w:val="right"/>
      </w:pPr>
      <w:r>
        <w:rPr>
          <w:rFonts w:ascii="Arial" w:cs="Arial" w:eastAsia="Arial" w:hAnsi="Arial"/>
          <w:color w:val="1A2733"/>
          <w:sz w:val="21"/>
          <w:szCs w:val="21"/>
          <w:rtl/>
        </w:rPr>
        <w:t xml:space="preserve">מסד הנתונים נזרע אוטומטית ב־23 המוצרים בפנייה הראשונה (אין צורך במיגרציה ידנית).</w:t>
      </w:r>
    </w:p>
    <w:p>
      <w:pPr>
        <w:pBdr>
          <w:bottom w:val="single" w:color="9A7B33" w:sz="6" w:space="4"/>
        </w:pBdr>
        <w:bidi/>
        <w:spacing w:after="100" w:before="240"/>
        <w:jc w:val="right"/>
      </w:pPr>
      <w:r>
        <w:rPr>
          <w:rFonts w:ascii="Arial" w:cs="Arial" w:eastAsia="Arial" w:hAnsi="Arial"/>
          <w:b/>
          <w:bCs/>
          <w:color w:val="0B3A5E"/>
          <w:sz w:val="25"/>
          <w:szCs w:val="25"/>
          <w:rtl/>
        </w:rPr>
        <w:t xml:space="preserve">6. מסמכים נלווים</w:t>
      </w:r>
    </w:p>
    <w:p>
      <w:pPr>
        <w:pStyle w:val="ListParagraph"/>
        <w:numPr>
          <w:ilvl w:val="0"/>
          <w:numId w:val="1"/>
        </w:numPr>
        <w:bidi/>
        <w:spacing w:after="60" w:line="276"/>
        <w:jc w:val="right"/>
      </w:pPr>
      <w:r>
        <w:rPr>
          <w:rFonts w:ascii="Arial" w:cs="Arial" w:eastAsia="Arial" w:hAnsi="Arial"/>
          <w:color w:val="1A2733"/>
          <w:sz w:val="21"/>
          <w:szCs w:val="21"/>
          <w:rtl/>
        </w:rPr>
        <w:t xml:space="preserve">דו״ח מבדק חדירות ואבטחת מידע — סביבת test (grey-box, רמת מ״ק).</w:t>
      </w:r>
    </w:p>
    <w:p>
      <w:pPr>
        <w:pStyle w:val="ListParagraph"/>
        <w:numPr>
          <w:ilvl w:val="0"/>
          <w:numId w:val="1"/>
        </w:numPr>
        <w:bidi/>
        <w:spacing w:after="60" w:line="276"/>
        <w:jc w:val="right"/>
      </w:pPr>
      <w:r>
        <w:rPr>
          <w:rFonts w:ascii="Arial" w:cs="Arial" w:eastAsia="Arial" w:hAnsi="Arial"/>
          <w:color w:val="1A2733"/>
          <w:sz w:val="21"/>
          <w:szCs w:val="21"/>
          <w:rtl/>
        </w:rPr>
        <w:t xml:space="preserve">דו״ח אבטחה — פרודקשן.</w:t>
      </w:r>
    </w:p>
    <w:p>
      <w:pPr>
        <w:pStyle w:val="ListParagraph"/>
        <w:numPr>
          <w:ilvl w:val="0"/>
          <w:numId w:val="1"/>
        </w:numPr>
        <w:bidi/>
        <w:spacing w:after="60" w:line="276"/>
        <w:jc w:val="right"/>
      </w:pPr>
      <w:r>
        <w:rPr>
          <w:rFonts w:ascii="Arial" w:cs="Arial" w:eastAsia="Arial" w:hAnsi="Arial"/>
          <w:color w:val="1A2733"/>
          <w:sz w:val="21"/>
          <w:szCs w:val="21"/>
          <w:rtl/>
        </w:rPr>
        <w:t xml:space="preserve">מדריך הפרדת סביבות ומסדי נתונים — docs/ENVIRONMENTS.md.</w:t>
      </w:r>
    </w:p>
    <w:p>
      <w:pPr>
        <w:pStyle w:val="ListParagraph"/>
        <w:numPr>
          <w:ilvl w:val="0"/>
          <w:numId w:val="1"/>
        </w:numPr>
        <w:bidi/>
        <w:spacing w:after="60" w:line="276"/>
        <w:jc w:val="right"/>
      </w:pPr>
      <w:r>
        <w:rPr>
          <w:rFonts w:ascii="Arial" w:cs="Arial" w:eastAsia="Arial" w:hAnsi="Arial"/>
          <w:color w:val="1A2733"/>
          <w:sz w:val="21"/>
          <w:szCs w:val="21"/>
          <w:rtl/>
        </w:rPr>
        <w:t xml:space="preserve">מדריך הדגמה למנכ״ל.</w:t>
      </w:r>
    </w:p>
    <w:p>
      <w:r>
        <w:br w:type="page"/>
      </w:r>
    </w:p>
    <w:p>
      <w:pPr>
        <w:pBdr>
          <w:bottom w:val="single" w:color="9A7B33" w:sz="6" w:space="4"/>
        </w:pBdr>
        <w:bidi/>
        <w:spacing w:after="100" w:before="240"/>
        <w:jc w:val="right"/>
      </w:pPr>
      <w:r>
        <w:rPr>
          <w:rFonts w:ascii="Arial" w:cs="Arial" w:eastAsia="Arial" w:hAnsi="Arial"/>
          <w:b/>
          <w:bCs/>
          <w:color w:val="0B3A5E"/>
          <w:sz w:val="25"/>
          <w:szCs w:val="25"/>
          <w:rtl/>
        </w:rPr>
        <w:t xml:space="preserve">7. נספח א׳ — פירוט שינויים (Commits)</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00"/>
      </w:tblGrid>
      <w:tr>
        <w:trPr>
          <w:tblHeader/>
        </w:trPr>
        <w:tc>
          <w:tcPr>
            <w:tcW w:type="dxa" w:w="1500"/>
            <w:tcBorders>
              <w:top w:val="single" w:color="C9D6E2" w:sz="4"/>
              <w:left w:val="single" w:color="C9D6E2" w:sz="4"/>
              <w:bottom w:val="single" w:color="C9D6E2" w:sz="4"/>
              <w:right w:val="single" w:color="C9D6E2" w:sz="4"/>
            </w:tcBorders>
            <w:shd w:fill="0B3A5E" w:color="auto" w:val="clear"/>
            <w:tcMar>
              <w:top w:type="dxa" w:w="60"/>
              <w:left w:type="dxa" w:w="100"/>
              <w:bottom w:type="dxa" w:w="60"/>
              <w:right w:type="dxa" w:w="100"/>
            </w:tcMar>
          </w:tcPr>
          <w:p>
            <w:pPr>
              <w:bidi/>
              <w:spacing w:after="0" w:line="260"/>
              <w:jc w:val="right"/>
            </w:pPr>
            <w:r>
              <w:rPr>
                <w:rFonts w:ascii="Arial" w:cs="Arial" w:eastAsia="Arial" w:hAnsi="Arial"/>
                <w:b/>
                <w:bCs/>
                <w:color w:val="FFFFFF"/>
                <w:sz w:val="19"/>
                <w:szCs w:val="19"/>
                <w:rtl/>
              </w:rPr>
              <w:t xml:space="preserve">מזהה</w:t>
            </w:r>
          </w:p>
        </w:tc>
        <w:tc>
          <w:tcPr>
            <w:tcW w:type="dxa" w:w="1700"/>
            <w:tcBorders>
              <w:top w:val="single" w:color="C9D6E2" w:sz="4"/>
              <w:left w:val="single" w:color="C9D6E2" w:sz="4"/>
              <w:bottom w:val="single" w:color="C9D6E2" w:sz="4"/>
              <w:right w:val="single" w:color="C9D6E2" w:sz="4"/>
            </w:tcBorders>
            <w:shd w:fill="0B3A5E" w:color="auto" w:val="clear"/>
            <w:tcMar>
              <w:top w:type="dxa" w:w="60"/>
              <w:left w:type="dxa" w:w="100"/>
              <w:bottom w:type="dxa" w:w="60"/>
              <w:right w:type="dxa" w:w="100"/>
            </w:tcMar>
          </w:tcPr>
          <w:p>
            <w:pPr>
              <w:bidi/>
              <w:spacing w:after="0" w:line="260"/>
              <w:jc w:val="right"/>
            </w:pPr>
            <w:r>
              <w:rPr>
                <w:rFonts w:ascii="Arial" w:cs="Arial" w:eastAsia="Arial" w:hAnsi="Arial"/>
                <w:b/>
                <w:bCs/>
                <w:color w:val="FFFFFF"/>
                <w:sz w:val="19"/>
                <w:szCs w:val="19"/>
                <w:rtl/>
              </w:rPr>
              <w:t xml:space="preserve">תאריך</w:t>
            </w:r>
          </w:p>
        </w:tc>
        <w:tc>
          <w:tcPr>
            <w:tcW w:type="dxa" w:w="6100"/>
            <w:tcBorders>
              <w:top w:val="single" w:color="C9D6E2" w:sz="4"/>
              <w:left w:val="single" w:color="C9D6E2" w:sz="4"/>
              <w:bottom w:val="single" w:color="C9D6E2" w:sz="4"/>
              <w:right w:val="single" w:color="C9D6E2" w:sz="4"/>
            </w:tcBorders>
            <w:shd w:fill="0B3A5E" w:color="auto" w:val="clear"/>
            <w:tcMar>
              <w:top w:type="dxa" w:w="60"/>
              <w:left w:type="dxa" w:w="100"/>
              <w:bottom w:type="dxa" w:w="60"/>
              <w:right w:type="dxa" w:w="100"/>
            </w:tcMar>
          </w:tcPr>
          <w:p>
            <w:pPr>
              <w:bidi/>
              <w:spacing w:after="0" w:line="260"/>
              <w:jc w:val="right"/>
            </w:pPr>
            <w:r>
              <w:rPr>
                <w:rFonts w:ascii="Arial" w:cs="Arial" w:eastAsia="Arial" w:hAnsi="Arial"/>
                <w:b/>
                <w:bCs/>
                <w:color w:val="FFFFFF"/>
                <w:sz w:val="19"/>
                <w:szCs w:val="19"/>
                <w:rtl/>
              </w:rPr>
              <w:t xml:space="preserve">תיאור</w:t>
            </w:r>
          </w:p>
        </w:tc>
      </w:tr>
      <w:tr>
        <w:trPr>
          <w:tblHeader w:val="false"/>
        </w:trPr>
        <w:tc>
          <w:tcPr>
            <w:tcW w:type="dxa" w:w="15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66562f4</w:t>
            </w:r>
          </w:p>
        </w:tc>
        <w:tc>
          <w:tcPr>
            <w:tcW w:type="dxa" w:w="1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2026-08-23</w:t>
            </w:r>
          </w:p>
        </w:tc>
        <w:tc>
          <w:tcPr>
            <w:tcW w:type="dxa" w:w="61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תשתית הפרדת סביבות + תגית סביבה ב־CMS + מדריך הקמה</w:t>
            </w:r>
          </w:p>
        </w:tc>
      </w:tr>
      <w:tr>
        <w:trPr>
          <w:tblHeader w:val="false"/>
        </w:trPr>
        <w:tc>
          <w:tcPr>
            <w:tcW w:type="dxa" w:w="15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d37b55a</w:t>
            </w:r>
          </w:p>
        </w:tc>
        <w:tc>
          <w:tcPr>
            <w:tcW w:type="dxa" w:w="1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2026-08-20</w:t>
            </w:r>
          </w:p>
        </w:tc>
        <w:tc>
          <w:tcPr>
            <w:tcW w:type="dxa" w:w="61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עדכון בדיקות E2E לזרימת ההזמנה החדשה</w:t>
            </w:r>
          </w:p>
        </w:tc>
      </w:tr>
      <w:tr>
        <w:trPr>
          <w:tblHeader w:val="false"/>
        </w:trPr>
        <w:tc>
          <w:tcPr>
            <w:tcW w:type="dxa" w:w="15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559cbd1</w:t>
            </w:r>
          </w:p>
        </w:tc>
        <w:tc>
          <w:tcPr>
            <w:tcW w:type="dxa" w:w="1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2026-08-20</w:t>
            </w:r>
          </w:p>
        </w:tc>
        <w:tc>
          <w:tcPr>
            <w:tcW w:type="dxa" w:w="61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זרימת הזמנה — מעבר לטפסים המקוריים; השבתת אשף פנימי</w:t>
            </w:r>
          </w:p>
        </w:tc>
      </w:tr>
      <w:tr>
        <w:trPr>
          <w:tblHeader w:val="false"/>
        </w:trPr>
        <w:tc>
          <w:tcPr>
            <w:tcW w:type="dxa" w:w="15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2232e9c</w:t>
            </w:r>
          </w:p>
        </w:tc>
        <w:tc>
          <w:tcPr>
            <w:tcW w:type="dxa" w:w="1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2026-08-20</w:t>
            </w:r>
          </w:p>
        </w:tc>
        <w:tc>
          <w:tcPr>
            <w:tcW w:type="dxa" w:w="61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אבטחה — תיקון CVE ב־postcss</w:t>
            </w:r>
          </w:p>
        </w:tc>
      </w:tr>
      <w:tr>
        <w:trPr>
          <w:tblHeader w:val="false"/>
        </w:trPr>
        <w:tc>
          <w:tcPr>
            <w:tcW w:type="dxa" w:w="15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7960529</w:t>
            </w:r>
          </w:p>
        </w:tc>
        <w:tc>
          <w:tcPr>
            <w:tcW w:type="dxa" w:w="1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2026-08-19</w:t>
            </w:r>
          </w:p>
        </w:tc>
        <w:tc>
          <w:tcPr>
            <w:tcW w:type="dxa" w:w="61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קטלוג מוצרים מנוהל מבוסס DB, מיושר לקטלוג מפ״י</w:t>
            </w:r>
          </w:p>
        </w:tc>
      </w:tr>
      <w:tr>
        <w:trPr>
          <w:tblHeader w:val="false"/>
        </w:trPr>
        <w:tc>
          <w:tcPr>
            <w:tcW w:type="dxa" w:w="15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38c5b65</w:t>
            </w:r>
          </w:p>
        </w:tc>
        <w:tc>
          <w:tcPr>
            <w:tcW w:type="dxa" w:w="1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2026-08-19</w:t>
            </w:r>
          </w:p>
        </w:tc>
        <w:tc>
          <w:tcPr>
            <w:tcW w:type="dxa" w:w="61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שירות חדש: נסח טב״ו בקליק → nadlan.gov.il</w:t>
            </w:r>
          </w:p>
        </w:tc>
      </w:tr>
      <w:tr>
        <w:trPr>
          <w:tblHeader w:val="false"/>
        </w:trPr>
        <w:tc>
          <w:tcPr>
            <w:tcW w:type="dxa" w:w="15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d5aa32b</w:t>
            </w:r>
          </w:p>
        </w:tc>
        <w:tc>
          <w:tcPr>
            <w:tcW w:type="dxa" w:w="1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2026-08-18</w:t>
            </w:r>
          </w:p>
        </w:tc>
        <w:tc>
          <w:tcPr>
            <w:tcW w:type="dxa" w:w="61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תיעוד משתני סביבה למייל (.env.example)</w:t>
            </w:r>
          </w:p>
        </w:tc>
      </w:tr>
      <w:tr>
        <w:trPr>
          <w:tblHeader w:val="false"/>
        </w:trPr>
        <w:tc>
          <w:tcPr>
            <w:tcW w:type="dxa" w:w="15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b8c6ab7</w:t>
            </w:r>
          </w:p>
        </w:tc>
        <w:tc>
          <w:tcPr>
            <w:tcW w:type="dxa" w:w="1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2026-08-18</w:t>
            </w:r>
          </w:p>
        </w:tc>
        <w:tc>
          <w:tcPr>
            <w:tcW w:type="dxa" w:w="61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bidi/>
              <w:spacing w:after="0" w:line="260"/>
              <w:jc w:val="right"/>
            </w:pPr>
            <w:r>
              <w:rPr>
                <w:rFonts w:ascii="Arial" w:cs="Arial" w:eastAsia="Arial" w:hAnsi="Arial"/>
                <w:b w:val="false"/>
                <w:bCs w:val="false"/>
                <w:color w:val="1A2733"/>
                <w:sz w:val="19"/>
                <w:szCs w:val="19"/>
                <w:rtl/>
              </w:rPr>
              <w:t xml:space="preserve">עדכון כותרת ראשית: פורטל למידע הגאוגרפי הלאומי</w:t>
            </w:r>
          </w:p>
        </w:tc>
      </w:tr>
    </w:tbl>
    <w:p>
      <w:pPr>
        <w:spacing w:after="240"/>
      </w:pPr>
    </w:p>
    <w:p>
      <w:pPr>
        <w:pBdr>
          <w:top w:val="single" w:color="C9D6E2" w:sz="4" w:space="6"/>
        </w:pBdr>
        <w:bidi/>
        <w:spacing w:before="200"/>
        <w:jc w:val="right"/>
      </w:pPr>
      <w:r>
        <w:rPr>
          <w:rFonts w:ascii="Arial" w:cs="Arial" w:eastAsia="Arial" w:hAnsi="Arial"/>
          <w:i/>
          <w:iCs/>
          <w:color w:val="5B6B7B"/>
          <w:sz w:val="16"/>
          <w:szCs w:val="16"/>
          <w:rtl/>
        </w:rPr>
        <w:t xml:space="preserve">מסמך תיאור גרסה · פורטל מפ״י · 23 באוגוסט 2026 · מזהה גרסה 66562f4</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עמוד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righ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2026-08-24T05:22:54.007Z</dcterms:created>
  <dcterms:modified xsi:type="dcterms:W3CDTF">2026-08-24T05:22:54.022Z</dcterms:modified>
</cp:coreProperties>
</file>

<file path=docProps/custom.xml><?xml version="1.0" encoding="utf-8"?>
<Properties xmlns="http://schemas.openxmlformats.org/officeDocument/2006/custom-properties" xmlns:vt="http://schemas.openxmlformats.org/officeDocument/2006/docPropsVTypes"/>
</file>