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60E91">
      <w:r>
        <w:t>Trước năm 2000, nếu đất do vợ hoặc chồng đứng tên, thì vẫn được tính là tài sản chung.</w:t>
      </w:r>
    </w:p>
    <w:p w:rsidR="00560E91" w:rsidRDefault="00560E91">
      <w:r>
        <w:t xml:space="preserve">Đất đứng tên sau năm 2000, chồng hoặc vợ nếu </w:t>
      </w:r>
      <w:bookmarkStart w:id="0" w:name="_GoBack"/>
      <w:bookmarkEnd w:id="0"/>
      <w:r>
        <w:t>ai đứng tên thì quyền sử dụng đất thuộc về người đó.</w:t>
      </w:r>
    </w:p>
    <w:sectPr w:rsidR="0056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E1"/>
    <w:rsid w:val="00510BE1"/>
    <w:rsid w:val="00560E91"/>
    <w:rsid w:val="00683AB8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9E9B"/>
  <w15:chartTrackingRefBased/>
  <w15:docId w15:val="{94E99A12-8C55-4CC3-9B0D-6384C068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2018-12-26T07:48:00Z</dcterms:created>
  <dcterms:modified xsi:type="dcterms:W3CDTF">2018-12-26T07:51:00Z</dcterms:modified>
</cp:coreProperties>
</file>