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F9" w:rsidRDefault="00306B69" w:rsidP="003C3620">
      <w:pPr>
        <w:pStyle w:val="Ttulo2"/>
      </w:pPr>
      <w:r>
        <w:t>Introdução</w:t>
      </w:r>
    </w:p>
    <w:p w:rsidR="005A7D92" w:rsidRDefault="00306B69">
      <w:r>
        <w:t>A sodalita-nefelina ou sodalita é utilizada no convertedor para r</w:t>
      </w:r>
      <w:r w:rsidR="005A7D92">
        <w:t>eduzir a viscosidade da escória</w:t>
      </w:r>
      <w:r>
        <w:t xml:space="preserve"> </w:t>
      </w:r>
      <w:r w:rsidR="00FC29DB">
        <w:t xml:space="preserve">aumentando </w:t>
      </w:r>
      <w:r>
        <w:t xml:space="preserve">seu poder de remoção de fósforo. </w:t>
      </w:r>
      <w:r w:rsidR="00FC29DB">
        <w:t>A composição típica, em peso, da sodalita é 53% SiO</w:t>
      </w:r>
      <w:r w:rsidR="00FC29DB" w:rsidRPr="00D35541">
        <w:rPr>
          <w:vertAlign w:val="subscript"/>
        </w:rPr>
        <w:t>2</w:t>
      </w:r>
      <w:r w:rsidR="00FC29DB">
        <w:rPr>
          <w:vertAlign w:val="subscript"/>
        </w:rPr>
        <w:t xml:space="preserve"> </w:t>
      </w:r>
      <w:r w:rsidR="00FC29DB" w:rsidRPr="00306B69">
        <w:t>e</w:t>
      </w:r>
      <w:r w:rsidR="00FC29DB">
        <w:t xml:space="preserve"> 24%Al</w:t>
      </w:r>
      <w:r w:rsidR="00FC29DB" w:rsidRPr="00D35541">
        <w:rPr>
          <w:vertAlign w:val="subscript"/>
        </w:rPr>
        <w:t>2</w:t>
      </w:r>
      <w:r w:rsidR="00FC29DB">
        <w:t>O</w:t>
      </w:r>
      <w:r w:rsidR="00FC29DB" w:rsidRPr="00D35541">
        <w:rPr>
          <w:vertAlign w:val="subscript"/>
        </w:rPr>
        <w:t>3</w:t>
      </w:r>
      <w:r w:rsidR="00FC29DB">
        <w:t xml:space="preserve"> com granulometria de 20 a 50 mm. Em tese, a adição </w:t>
      </w:r>
      <w:r>
        <w:t>de sodalita</w:t>
      </w:r>
      <w:r w:rsidR="003C3620">
        <w:t xml:space="preserve"> </w:t>
      </w:r>
      <w:r>
        <w:t>é mais importante</w:t>
      </w:r>
      <w:r w:rsidR="003C3620">
        <w:t xml:space="preserve"> para corridas com maior carbono final, onde o grau de oxidação da escória é menor.</w:t>
      </w:r>
      <w:r w:rsidR="00FC29DB">
        <w:t xml:space="preserve"> O objetivo deste experimento é verificar se há diferença significativa no teor de fósforo final de sopro relacionado à utilização de sodalita.</w:t>
      </w:r>
    </w:p>
    <w:p w:rsidR="00306B69" w:rsidRDefault="00306B69" w:rsidP="00306B69">
      <w:pPr>
        <w:pStyle w:val="Ttulo2"/>
      </w:pPr>
      <w:r>
        <w:t>Descrição do experimento</w:t>
      </w:r>
    </w:p>
    <w:p w:rsidR="00306B69" w:rsidRPr="00306B69" w:rsidRDefault="00306B69" w:rsidP="00306B69">
      <w:r>
        <w:t xml:space="preserve">Em 22/Abr o silo de sodalita do convertedor 4 foi abastecido com calcário em caráter experimental enquanto o convertedor 5 foi mantido em condição normal. A troca não foi comunicada à supervisão e operadores para não interferir nos resultados. Após </w:t>
      </w:r>
      <w:r w:rsidR="00FC29DB">
        <w:t>20</w:t>
      </w:r>
      <w:r>
        <w:t xml:space="preserve"> dias foram levantados os dados das corridas sopradas para </w:t>
      </w:r>
      <w:r w:rsidR="008661D2">
        <w:t xml:space="preserve">determinar qual </w:t>
      </w:r>
      <w:r>
        <w:t>a diferença entre o fósforo fim de sopro das corridas do grupo de controle e aquelas onde a adição de nefelina foi omitida.</w:t>
      </w:r>
    </w:p>
    <w:p w:rsidR="00306B69" w:rsidRDefault="00306B69" w:rsidP="00306B69">
      <w:pPr>
        <w:pStyle w:val="Ttulo2"/>
      </w:pPr>
      <w:r>
        <w:t>Análise dos resultados</w:t>
      </w:r>
    </w:p>
    <w:p w:rsidR="00762009" w:rsidRDefault="00762009" w:rsidP="00762009">
      <w:r>
        <w:t xml:space="preserve">O conjunto de dados com 721 observações foi carregado no pacote estatístico </w:t>
      </w:r>
      <w:r w:rsidRPr="00762009">
        <w:rPr>
          <w:i/>
        </w:rPr>
        <w:t>R</w:t>
      </w:r>
      <w:r w:rsidR="00077593">
        <w:t xml:space="preserve"> onde foi separado em dois: a) corridas UBC e b) corridas comuns.</w:t>
      </w:r>
    </w:p>
    <w:p w:rsidR="00D72BB9" w:rsidRDefault="00D41E15" w:rsidP="00762009">
      <w:r>
        <w:t>Confundidores são fatores que se acredita exercem influência sobre a variável resposta. Neste estudo, f</w:t>
      </w:r>
      <w:r w:rsidR="00D72BB9">
        <w:t xml:space="preserve">oram considerados </w:t>
      </w:r>
      <w:r>
        <w:t>os seguintes</w:t>
      </w:r>
      <w:r w:rsidR="00D72BB9">
        <w:t xml:space="preserve"> fatores confundidores: </w:t>
      </w:r>
    </w:p>
    <w:p w:rsidR="006C2E62" w:rsidRDefault="006C2E62" w:rsidP="006C2E62">
      <w:pPr>
        <w:pStyle w:val="PargrafodaLista"/>
        <w:numPr>
          <w:ilvl w:val="0"/>
          <w:numId w:val="1"/>
        </w:numPr>
      </w:pPr>
      <w:r>
        <w:t>Temperatura final de sopro (medição sublança)</w:t>
      </w:r>
      <w:r w:rsidR="007453BB">
        <w:t>, em ºC</w:t>
      </w:r>
      <w:r>
        <w:t>;</w:t>
      </w:r>
    </w:p>
    <w:p w:rsidR="006C2E62" w:rsidRDefault="006C2E62" w:rsidP="006C2E62">
      <w:pPr>
        <w:pStyle w:val="PargrafodaLista"/>
        <w:numPr>
          <w:ilvl w:val="0"/>
          <w:numId w:val="1"/>
        </w:numPr>
      </w:pPr>
      <w:r>
        <w:t>Carbono final de sopro (laboratório)</w:t>
      </w:r>
      <w:r w:rsidR="007453BB">
        <w:t>, em pontos</w:t>
      </w:r>
      <w:r>
        <w:t>;</w:t>
      </w:r>
    </w:p>
    <w:p w:rsidR="006C2E62" w:rsidRDefault="006C2E62" w:rsidP="006C2E62">
      <w:pPr>
        <w:pStyle w:val="PargrafodaLista"/>
        <w:numPr>
          <w:ilvl w:val="0"/>
          <w:numId w:val="1"/>
        </w:numPr>
      </w:pPr>
      <w:r>
        <w:t>Input de MgO</w:t>
      </w:r>
      <w:r w:rsidR="007453BB">
        <w:t>, em kg/t</w:t>
      </w:r>
    </w:p>
    <w:p w:rsidR="006C2E62" w:rsidRDefault="006C2E62" w:rsidP="006C2E62">
      <w:pPr>
        <w:pStyle w:val="PargrafodaLista"/>
        <w:numPr>
          <w:ilvl w:val="0"/>
          <w:numId w:val="1"/>
        </w:numPr>
      </w:pPr>
      <w:r>
        <w:t>Input de CaO/Input de Silício</w:t>
      </w:r>
      <w:r w:rsidR="007453BB">
        <w:t>, adimensional</w:t>
      </w:r>
    </w:p>
    <w:p w:rsidR="006C2E62" w:rsidRDefault="006C2E62" w:rsidP="006C2E62">
      <w:pPr>
        <w:pStyle w:val="PargrafodaLista"/>
        <w:numPr>
          <w:ilvl w:val="0"/>
          <w:numId w:val="1"/>
        </w:numPr>
      </w:pPr>
      <w:r>
        <w:t>[P] do gusa</w:t>
      </w:r>
      <w:r w:rsidR="007453BB">
        <w:t>, em pontos.</w:t>
      </w:r>
    </w:p>
    <w:p w:rsidR="00D41E15" w:rsidRDefault="00D41E15" w:rsidP="00D41E15">
      <w:r>
        <w:t>Os testes de significância foram conduzidos com duas condições de agrupamento:</w:t>
      </w:r>
    </w:p>
    <w:p w:rsidR="00D41E15" w:rsidRDefault="00D41E15" w:rsidP="00D41E15">
      <w:pPr>
        <w:pStyle w:val="PargrafodaLista"/>
        <w:numPr>
          <w:ilvl w:val="0"/>
          <w:numId w:val="3"/>
        </w:numPr>
      </w:pPr>
      <w:r>
        <w:t xml:space="preserve">Dois </w:t>
      </w:r>
      <w:r w:rsidR="0036673A">
        <w:t>tratamentos</w:t>
      </w:r>
      <w:r>
        <w:t>:</w:t>
      </w:r>
    </w:p>
    <w:p w:rsidR="00D41E15" w:rsidRDefault="00D41E15" w:rsidP="00D41E15">
      <w:pPr>
        <w:pStyle w:val="PargrafodaLista"/>
        <w:numPr>
          <w:ilvl w:val="1"/>
          <w:numId w:val="3"/>
        </w:numPr>
      </w:pPr>
      <w:r>
        <w:t xml:space="preserve">Sem </w:t>
      </w:r>
      <w:r w:rsidR="00FF4B7B">
        <w:t>sodalita, 0</w:t>
      </w:r>
    </w:p>
    <w:p w:rsidR="00D41E15" w:rsidRDefault="00D41E15" w:rsidP="00D41E15">
      <w:pPr>
        <w:pStyle w:val="PargrafodaLista"/>
        <w:numPr>
          <w:ilvl w:val="1"/>
          <w:numId w:val="3"/>
        </w:numPr>
      </w:pPr>
      <w:r>
        <w:t>Com sodalita</w:t>
      </w:r>
      <w:r w:rsidR="00FF4B7B">
        <w:t>, 1</w:t>
      </w:r>
    </w:p>
    <w:p w:rsidR="00D41E15" w:rsidRDefault="00D41E15" w:rsidP="00D41E15">
      <w:pPr>
        <w:pStyle w:val="PargrafodaLista"/>
        <w:numPr>
          <w:ilvl w:val="0"/>
          <w:numId w:val="3"/>
        </w:numPr>
      </w:pPr>
      <w:r>
        <w:t xml:space="preserve">Três </w:t>
      </w:r>
      <w:r w:rsidR="0036673A">
        <w:t>tratamentos</w:t>
      </w:r>
      <w:r>
        <w:t>:</w:t>
      </w:r>
    </w:p>
    <w:p w:rsidR="00D41E15" w:rsidRDefault="00D41E15" w:rsidP="00D41E15">
      <w:pPr>
        <w:pStyle w:val="PargrafodaLista"/>
        <w:numPr>
          <w:ilvl w:val="1"/>
          <w:numId w:val="3"/>
        </w:numPr>
      </w:pPr>
      <w:r>
        <w:t>Sem sodalita,</w:t>
      </w:r>
      <w:r w:rsidR="00FF4B7B">
        <w:t xml:space="preserve"> 0</w:t>
      </w:r>
    </w:p>
    <w:p w:rsidR="00D41E15" w:rsidRDefault="00D41E15" w:rsidP="00D41E15">
      <w:pPr>
        <w:pStyle w:val="PargrafodaLista"/>
        <w:numPr>
          <w:ilvl w:val="1"/>
          <w:numId w:val="3"/>
        </w:numPr>
      </w:pPr>
      <w:r>
        <w:t>Com calcário no lugar da sodalita</w:t>
      </w:r>
      <w:r w:rsidR="00EC44DE">
        <w:t xml:space="preserve"> (placebo)</w:t>
      </w:r>
      <w:r w:rsidR="00FF4B7B">
        <w:t>, 1</w:t>
      </w:r>
    </w:p>
    <w:p w:rsidR="00D41E15" w:rsidRDefault="00D41E15" w:rsidP="00D41E15">
      <w:pPr>
        <w:pStyle w:val="PargrafodaLista"/>
        <w:numPr>
          <w:ilvl w:val="1"/>
          <w:numId w:val="3"/>
        </w:numPr>
      </w:pPr>
      <w:r>
        <w:t>Com sodalita</w:t>
      </w:r>
      <w:r w:rsidR="00FF4B7B">
        <w:t>, 2</w:t>
      </w:r>
    </w:p>
    <w:p w:rsidR="00077593" w:rsidRPr="00762009" w:rsidRDefault="00077593" w:rsidP="00077593">
      <w:pPr>
        <w:pStyle w:val="Ttulo3"/>
      </w:pPr>
      <w:r>
        <w:t>Resultados nos aços comuns</w:t>
      </w:r>
    </w:p>
    <w:p w:rsidR="00306B69" w:rsidRDefault="00077593" w:rsidP="00306B69">
      <w:r>
        <w:t xml:space="preserve">Foram consideradas comuns as corridas com [C] visado no pedido maior que 2 pontos. Havia 403 observações nesta condição. Foram removidas as corridas com faixa de fósforo e o número de observações passou a ser 384. Destas, 186 corridas não tinham resultado de análise fim de sopro (BS) e </w:t>
      </w:r>
      <w:r w:rsidR="00CF541B">
        <w:t xml:space="preserve">12 não tinham valores de temperatura e </w:t>
      </w:r>
      <w:r>
        <w:t xml:space="preserve">foram descartadas. O tamanho final do conjunto de </w:t>
      </w:r>
      <w:r w:rsidR="00CF541B">
        <w:t>dados de corridas comuns foi 186</w:t>
      </w:r>
      <w:r>
        <w:t>.</w:t>
      </w:r>
    </w:p>
    <w:p w:rsidR="00D72BB9" w:rsidRDefault="00077593" w:rsidP="00306B69">
      <w:r>
        <w:t>A distribuição de [P] visado no pedido é apresentada abaixo:</w:t>
      </w:r>
      <w:r w:rsidR="00D72BB9">
        <w:t xml:space="preserve"> mais de 82% das corridas comuns </w:t>
      </w:r>
      <w:r w:rsidR="00FF4B7B">
        <w:t>apresentam</w:t>
      </w:r>
      <w:r w:rsidR="00D72BB9">
        <w:t xml:space="preserve"> o teor de fósforo visado de 25 pontos.</w:t>
      </w:r>
      <w:r w:rsidR="00D41E15">
        <w:t xml:space="preserve"> Neste estudo, as observações foram consideradas indistintamente com relação ao fósforo objetivado.</w:t>
      </w:r>
    </w:p>
    <w:tbl>
      <w:tblPr>
        <w:tblStyle w:val="Tabelacomgrade"/>
        <w:tblpPr w:leftFromText="141" w:rightFromText="141" w:vertAnchor="text" w:horzAnchor="page" w:tblpX="7384" w:tblpY="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3"/>
        <w:gridCol w:w="998"/>
      </w:tblGrid>
      <w:tr w:rsidR="00D72BB9" w:rsidRPr="00D72BB9" w:rsidTr="00D72BB9">
        <w:tc>
          <w:tcPr>
            <w:tcW w:w="953" w:type="dxa"/>
            <w:tcBorders>
              <w:top w:val="single" w:sz="4" w:space="0" w:color="auto"/>
              <w:bottom w:val="double" w:sz="4" w:space="0" w:color="auto"/>
            </w:tcBorders>
          </w:tcPr>
          <w:p w:rsidR="00D72BB9" w:rsidRPr="00D72BB9" w:rsidRDefault="00D72BB9" w:rsidP="00D72BB9">
            <w:pPr>
              <w:jc w:val="center"/>
              <w:rPr>
                <w:sz w:val="18"/>
                <w:szCs w:val="18"/>
              </w:rPr>
            </w:pPr>
            <w:r w:rsidRPr="00D72BB9">
              <w:rPr>
                <w:sz w:val="18"/>
                <w:szCs w:val="18"/>
              </w:rPr>
              <w:lastRenderedPageBreak/>
              <w:t>[P] vis</w:t>
            </w:r>
          </w:p>
        </w:tc>
        <w:tc>
          <w:tcPr>
            <w:tcW w:w="998" w:type="dxa"/>
            <w:tcBorders>
              <w:top w:val="single" w:sz="4" w:space="0" w:color="auto"/>
              <w:bottom w:val="double" w:sz="4" w:space="0" w:color="auto"/>
            </w:tcBorders>
          </w:tcPr>
          <w:p w:rsidR="00D72BB9" w:rsidRPr="00D72BB9" w:rsidRDefault="00D72BB9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contagem</w:t>
            </w:r>
          </w:p>
        </w:tc>
      </w:tr>
      <w:tr w:rsidR="00D72BB9" w:rsidRPr="00D72BB9" w:rsidTr="00D72BB9">
        <w:tc>
          <w:tcPr>
            <w:tcW w:w="953" w:type="dxa"/>
            <w:tcBorders>
              <w:top w:val="double" w:sz="4" w:space="0" w:color="auto"/>
            </w:tcBorders>
          </w:tcPr>
          <w:p w:rsidR="00D72BB9" w:rsidRPr="00D72BB9" w:rsidRDefault="00D72BB9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98" w:type="dxa"/>
            <w:tcBorders>
              <w:top w:val="double" w:sz="4" w:space="0" w:color="auto"/>
            </w:tcBorders>
          </w:tcPr>
          <w:p w:rsidR="00D72BB9" w:rsidRPr="00D72BB9" w:rsidRDefault="00CF541B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72BB9" w:rsidRPr="00D72BB9" w:rsidTr="00D72BB9">
        <w:tc>
          <w:tcPr>
            <w:tcW w:w="953" w:type="dxa"/>
          </w:tcPr>
          <w:p w:rsidR="00D72BB9" w:rsidRPr="00D72BB9" w:rsidRDefault="00D72BB9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98" w:type="dxa"/>
          </w:tcPr>
          <w:p w:rsidR="00D72BB9" w:rsidRPr="00D72BB9" w:rsidRDefault="00D72BB9" w:rsidP="00CF54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F541B">
              <w:rPr>
                <w:sz w:val="18"/>
                <w:szCs w:val="18"/>
              </w:rPr>
              <w:t>5</w:t>
            </w:r>
          </w:p>
        </w:tc>
      </w:tr>
      <w:tr w:rsidR="00D72BB9" w:rsidRPr="00D72BB9" w:rsidTr="00D72BB9">
        <w:tc>
          <w:tcPr>
            <w:tcW w:w="953" w:type="dxa"/>
          </w:tcPr>
          <w:p w:rsidR="00D72BB9" w:rsidRPr="00D72BB9" w:rsidRDefault="00D72BB9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98" w:type="dxa"/>
          </w:tcPr>
          <w:p w:rsidR="00D72BB9" w:rsidRPr="00D72BB9" w:rsidRDefault="00D72BB9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72BB9" w:rsidRPr="00D72BB9" w:rsidTr="00D72BB9">
        <w:tc>
          <w:tcPr>
            <w:tcW w:w="953" w:type="dxa"/>
          </w:tcPr>
          <w:p w:rsidR="00D72BB9" w:rsidRDefault="00D72BB9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98" w:type="dxa"/>
          </w:tcPr>
          <w:p w:rsidR="00D72BB9" w:rsidRPr="00D72BB9" w:rsidRDefault="00CF541B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D72BB9" w:rsidRPr="00D72BB9" w:rsidTr="00D72BB9">
        <w:tc>
          <w:tcPr>
            <w:tcW w:w="953" w:type="dxa"/>
          </w:tcPr>
          <w:p w:rsidR="00D72BB9" w:rsidRDefault="00D72BB9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98" w:type="dxa"/>
          </w:tcPr>
          <w:p w:rsidR="00D72BB9" w:rsidRPr="00D72BB9" w:rsidRDefault="00D72BB9" w:rsidP="00CF54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F541B">
              <w:rPr>
                <w:sz w:val="18"/>
                <w:szCs w:val="18"/>
              </w:rPr>
              <w:t>54</w:t>
            </w:r>
          </w:p>
        </w:tc>
      </w:tr>
      <w:tr w:rsidR="00D72BB9" w:rsidRPr="00D72BB9" w:rsidTr="00D72BB9">
        <w:tc>
          <w:tcPr>
            <w:tcW w:w="953" w:type="dxa"/>
            <w:tcBorders>
              <w:bottom w:val="single" w:sz="4" w:space="0" w:color="auto"/>
            </w:tcBorders>
          </w:tcPr>
          <w:p w:rsidR="00D72BB9" w:rsidRDefault="00D72BB9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D72BB9" w:rsidRPr="00D72BB9" w:rsidRDefault="00D72BB9" w:rsidP="00D72B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D72BB9" w:rsidRPr="00D72BB9" w:rsidTr="00D72BB9">
        <w:tc>
          <w:tcPr>
            <w:tcW w:w="953" w:type="dxa"/>
            <w:tcBorders>
              <w:top w:val="single" w:sz="4" w:space="0" w:color="auto"/>
            </w:tcBorders>
          </w:tcPr>
          <w:p w:rsidR="00D72BB9" w:rsidRDefault="00D72BB9" w:rsidP="00D72B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:rsidR="00D72BB9" w:rsidRDefault="00D72BB9" w:rsidP="00CF54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CF541B">
              <w:rPr>
                <w:sz w:val="18"/>
                <w:szCs w:val="18"/>
              </w:rPr>
              <w:t>6</w:t>
            </w:r>
          </w:p>
        </w:tc>
      </w:tr>
    </w:tbl>
    <w:p w:rsidR="00D72BB9" w:rsidRPr="00077593" w:rsidRDefault="00077593" w:rsidP="00D72BB9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>
            <wp:extent cx="3081712" cy="2024743"/>
            <wp:effectExtent l="19050" t="0" r="4388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24" cy="202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96" w:rsidRDefault="00BA7D96" w:rsidP="00D41E15">
      <w:r>
        <w:t xml:space="preserve">A primeira parte da análise dos dados foi a remoção de </w:t>
      </w:r>
      <w:r w:rsidRPr="00BA7D96">
        <w:rPr>
          <w:i/>
        </w:rPr>
        <w:t>outliers</w:t>
      </w:r>
      <w:r>
        <w:t>. Foram removidos todos as observações cuja distância do primeiro e terceiro quartil sejam maiores que uma vez e meia o range interquartil. Após 2 rodadas foram removidas 31 observações e o conjunto restante de dados ficou com tamanho 155.</w:t>
      </w:r>
    </w:p>
    <w:p w:rsidR="00D41E15" w:rsidRDefault="00BA7D96" w:rsidP="00D41E15">
      <w:r>
        <w:t>Em seguida foi conduzida uma análise para determinar</w:t>
      </w:r>
      <w:r w:rsidR="00D41E15">
        <w:t xml:space="preserve"> </w:t>
      </w:r>
      <w:r>
        <w:t xml:space="preserve">a </w:t>
      </w:r>
      <w:r w:rsidR="00D41E15">
        <w:t>isonomia dos fatores confundidores entre os tratamentos. O objetivo é determinar se há uma tendenciosidade para favor</w:t>
      </w:r>
      <w:r w:rsidR="00FF4B7B">
        <w:t xml:space="preserve"> de</w:t>
      </w:r>
      <w:r w:rsidR="00D41E15">
        <w:t xml:space="preserve"> qualquer dos agrupamentos.</w:t>
      </w:r>
      <w:r w:rsidR="00FF4B7B">
        <w:t xml:space="preserve"> Para isso, foi construído um teste de análise de variância ANOVA de um fator para cada um dos confundidores. Neste teste, a hipótese nula é a igualdade entre os tratamentos, ou seja, que não há tendência significativa. O nível de significância utilizado foi de 5%. Portanto, considera-se que o fator confundidor não tem influência quando o p-valor é maior que 0,05. O resultado é mostrado na tabela abaixo: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25"/>
        <w:gridCol w:w="2277"/>
        <w:gridCol w:w="2277"/>
        <w:gridCol w:w="1841"/>
      </w:tblGrid>
      <w:tr w:rsidR="00E550D1" w:rsidRPr="00FF4B7B" w:rsidTr="00E550D1">
        <w:trPr>
          <w:jc w:val="center"/>
        </w:trPr>
        <w:tc>
          <w:tcPr>
            <w:tcW w:w="2325" w:type="dxa"/>
            <w:tcBorders>
              <w:top w:val="single" w:sz="4" w:space="0" w:color="auto"/>
              <w:bottom w:val="double" w:sz="4" w:space="0" w:color="auto"/>
            </w:tcBorders>
          </w:tcPr>
          <w:p w:rsidR="00E550D1" w:rsidRPr="00FF4B7B" w:rsidRDefault="00E550D1" w:rsidP="00FF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Confundidor\p-valor</w:t>
            </w:r>
          </w:p>
        </w:tc>
        <w:tc>
          <w:tcPr>
            <w:tcW w:w="2277" w:type="dxa"/>
            <w:tcBorders>
              <w:top w:val="single" w:sz="4" w:space="0" w:color="auto"/>
              <w:bottom w:val="double" w:sz="4" w:space="0" w:color="auto"/>
            </w:tcBorders>
          </w:tcPr>
          <w:p w:rsidR="00E550D1" w:rsidRPr="00FF4B7B" w:rsidRDefault="00E550D1" w:rsidP="00FF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dois agrupamentos</w:t>
            </w:r>
          </w:p>
        </w:tc>
        <w:tc>
          <w:tcPr>
            <w:tcW w:w="2277" w:type="dxa"/>
            <w:tcBorders>
              <w:top w:val="single" w:sz="4" w:space="0" w:color="auto"/>
              <w:bottom w:val="double" w:sz="4" w:space="0" w:color="auto"/>
            </w:tcBorders>
          </w:tcPr>
          <w:p w:rsidR="00E550D1" w:rsidRPr="00FF4B7B" w:rsidRDefault="00E550D1" w:rsidP="00FF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três agrupamentos</w:t>
            </w:r>
          </w:p>
        </w:tc>
        <w:tc>
          <w:tcPr>
            <w:tcW w:w="1841" w:type="dxa"/>
            <w:tcBorders>
              <w:top w:val="single" w:sz="4" w:space="0" w:color="auto"/>
              <w:bottom w:val="double" w:sz="4" w:space="0" w:color="auto"/>
            </w:tcBorders>
          </w:tcPr>
          <w:p w:rsidR="00E550D1" w:rsidRDefault="00E550D1" w:rsidP="00FF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Conclusão</w:t>
            </w:r>
          </w:p>
        </w:tc>
      </w:tr>
      <w:tr w:rsidR="00E550D1" w:rsidRPr="00FF4B7B" w:rsidTr="00E550D1">
        <w:trPr>
          <w:jc w:val="center"/>
        </w:trPr>
        <w:tc>
          <w:tcPr>
            <w:tcW w:w="2325" w:type="dxa"/>
            <w:tcBorders>
              <w:top w:val="double" w:sz="4" w:space="0" w:color="auto"/>
            </w:tcBorders>
          </w:tcPr>
          <w:p w:rsidR="00E550D1" w:rsidRPr="00A363E7" w:rsidRDefault="00E550D1" w:rsidP="00FF4B7B">
            <w:pPr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TFS</w:t>
            </w:r>
          </w:p>
        </w:tc>
        <w:tc>
          <w:tcPr>
            <w:tcW w:w="2277" w:type="dxa"/>
            <w:tcBorders>
              <w:top w:val="double" w:sz="4" w:space="0" w:color="auto"/>
            </w:tcBorders>
          </w:tcPr>
          <w:p w:rsidR="00E550D1" w:rsidRPr="00A363E7" w:rsidRDefault="00BA7D96" w:rsidP="00E550D1">
            <w:pPr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0.052</w:t>
            </w:r>
          </w:p>
        </w:tc>
        <w:tc>
          <w:tcPr>
            <w:tcW w:w="2277" w:type="dxa"/>
            <w:tcBorders>
              <w:top w:val="double" w:sz="4" w:space="0" w:color="auto"/>
            </w:tcBorders>
          </w:tcPr>
          <w:p w:rsidR="00E550D1" w:rsidRPr="00A363E7" w:rsidRDefault="00BA7D96" w:rsidP="00E550D1">
            <w:pPr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1841" w:type="dxa"/>
            <w:tcBorders>
              <w:top w:val="double" w:sz="4" w:space="0" w:color="auto"/>
            </w:tcBorders>
          </w:tcPr>
          <w:p w:rsidR="00E550D1" w:rsidRPr="00A363E7" w:rsidRDefault="00FD74AD" w:rsidP="00E550D1">
            <w:pPr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Diferentes</w:t>
            </w:r>
          </w:p>
        </w:tc>
      </w:tr>
      <w:tr w:rsidR="00E550D1" w:rsidRPr="00FF4B7B" w:rsidTr="00E550D1">
        <w:trPr>
          <w:jc w:val="center"/>
        </w:trPr>
        <w:tc>
          <w:tcPr>
            <w:tcW w:w="2325" w:type="dxa"/>
          </w:tcPr>
          <w:p w:rsidR="00E550D1" w:rsidRPr="00FF4B7B" w:rsidRDefault="00E550D1" w:rsidP="00FF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CFS</w:t>
            </w:r>
          </w:p>
        </w:tc>
        <w:tc>
          <w:tcPr>
            <w:tcW w:w="2277" w:type="dxa"/>
          </w:tcPr>
          <w:p w:rsidR="00E550D1" w:rsidRPr="00FF4B7B" w:rsidRDefault="00BA7D96" w:rsidP="00E550D1">
            <w:pPr>
              <w:jc w:val="center"/>
              <w:rPr>
                <w:sz w:val="20"/>
                <w:szCs w:val="20"/>
              </w:rPr>
            </w:pPr>
            <w:r w:rsidRPr="00BA7D96">
              <w:rPr>
                <w:sz w:val="20"/>
                <w:szCs w:val="20"/>
              </w:rPr>
              <w:t>0.050</w:t>
            </w:r>
          </w:p>
        </w:tc>
        <w:tc>
          <w:tcPr>
            <w:tcW w:w="2277" w:type="dxa"/>
          </w:tcPr>
          <w:p w:rsidR="00E550D1" w:rsidRPr="00FF4B7B" w:rsidRDefault="00BA7D96" w:rsidP="00E550D1">
            <w:pPr>
              <w:jc w:val="center"/>
              <w:rPr>
                <w:sz w:val="20"/>
                <w:szCs w:val="20"/>
              </w:rPr>
            </w:pPr>
            <w:r w:rsidRPr="00BA7D96">
              <w:rPr>
                <w:sz w:val="20"/>
                <w:szCs w:val="20"/>
              </w:rPr>
              <w:t>0.088</w:t>
            </w:r>
          </w:p>
        </w:tc>
        <w:tc>
          <w:tcPr>
            <w:tcW w:w="1841" w:type="dxa"/>
          </w:tcPr>
          <w:p w:rsidR="00E550D1" w:rsidRDefault="00FD74AD" w:rsidP="00E55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Iguais</w:t>
            </w:r>
          </w:p>
        </w:tc>
      </w:tr>
      <w:tr w:rsidR="00E550D1" w:rsidRPr="00FF4B7B" w:rsidTr="00E550D1">
        <w:trPr>
          <w:jc w:val="center"/>
        </w:trPr>
        <w:tc>
          <w:tcPr>
            <w:tcW w:w="2325" w:type="dxa"/>
          </w:tcPr>
          <w:p w:rsidR="00E550D1" w:rsidRPr="00A363E7" w:rsidRDefault="00E550D1" w:rsidP="00FF4B7B">
            <w:pPr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MgO</w:t>
            </w:r>
          </w:p>
        </w:tc>
        <w:tc>
          <w:tcPr>
            <w:tcW w:w="2277" w:type="dxa"/>
          </w:tcPr>
          <w:p w:rsidR="00E550D1" w:rsidRPr="00A363E7" w:rsidRDefault="00BA7D96" w:rsidP="00E550D1">
            <w:pPr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0.002</w:t>
            </w:r>
          </w:p>
        </w:tc>
        <w:tc>
          <w:tcPr>
            <w:tcW w:w="2277" w:type="dxa"/>
          </w:tcPr>
          <w:p w:rsidR="00E550D1" w:rsidRPr="00A363E7" w:rsidRDefault="00BA7D96" w:rsidP="00E550D1">
            <w:pPr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0.000</w:t>
            </w:r>
          </w:p>
        </w:tc>
        <w:tc>
          <w:tcPr>
            <w:tcW w:w="1841" w:type="dxa"/>
          </w:tcPr>
          <w:p w:rsidR="00E550D1" w:rsidRPr="00A363E7" w:rsidRDefault="00FD74AD" w:rsidP="00E550D1">
            <w:pPr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Diferentes</w:t>
            </w:r>
          </w:p>
        </w:tc>
      </w:tr>
      <w:tr w:rsidR="00E550D1" w:rsidRPr="00FF4B7B" w:rsidTr="00E550D1">
        <w:trPr>
          <w:jc w:val="center"/>
        </w:trPr>
        <w:tc>
          <w:tcPr>
            <w:tcW w:w="2325" w:type="dxa"/>
          </w:tcPr>
          <w:p w:rsidR="00E550D1" w:rsidRPr="00FF4B7B" w:rsidRDefault="00E550D1" w:rsidP="00FF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CaO/Si</w:t>
            </w:r>
          </w:p>
        </w:tc>
        <w:tc>
          <w:tcPr>
            <w:tcW w:w="2277" w:type="dxa"/>
          </w:tcPr>
          <w:p w:rsidR="00E550D1" w:rsidRPr="00FF4B7B" w:rsidRDefault="00BA7D96" w:rsidP="00E550D1">
            <w:pPr>
              <w:jc w:val="center"/>
              <w:rPr>
                <w:sz w:val="20"/>
                <w:szCs w:val="20"/>
              </w:rPr>
            </w:pPr>
            <w:r w:rsidRPr="00BA7D96">
              <w:rPr>
                <w:sz w:val="20"/>
                <w:szCs w:val="20"/>
              </w:rPr>
              <w:t>0.573</w:t>
            </w:r>
          </w:p>
        </w:tc>
        <w:tc>
          <w:tcPr>
            <w:tcW w:w="2277" w:type="dxa"/>
          </w:tcPr>
          <w:p w:rsidR="00E550D1" w:rsidRPr="00FF4B7B" w:rsidRDefault="00FD74AD" w:rsidP="00E550D1">
            <w:pPr>
              <w:jc w:val="center"/>
              <w:rPr>
                <w:sz w:val="20"/>
                <w:szCs w:val="20"/>
              </w:rPr>
            </w:pPr>
            <w:r w:rsidRPr="00FD74AD">
              <w:rPr>
                <w:sz w:val="20"/>
                <w:szCs w:val="20"/>
              </w:rPr>
              <w:t>0.722</w:t>
            </w:r>
          </w:p>
        </w:tc>
        <w:tc>
          <w:tcPr>
            <w:tcW w:w="1841" w:type="dxa"/>
          </w:tcPr>
          <w:p w:rsidR="00E550D1" w:rsidRDefault="00FD74AD" w:rsidP="00E55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Iguais</w:t>
            </w:r>
          </w:p>
        </w:tc>
      </w:tr>
      <w:tr w:rsidR="00E550D1" w:rsidRPr="00FF4B7B" w:rsidTr="00E550D1">
        <w:trPr>
          <w:jc w:val="center"/>
        </w:trPr>
        <w:tc>
          <w:tcPr>
            <w:tcW w:w="2325" w:type="dxa"/>
            <w:tcBorders>
              <w:bottom w:val="single" w:sz="4" w:space="0" w:color="auto"/>
            </w:tcBorders>
          </w:tcPr>
          <w:p w:rsidR="00E550D1" w:rsidRPr="00FF4B7B" w:rsidRDefault="00E550D1" w:rsidP="00FF4B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gusa</w:t>
            </w:r>
          </w:p>
        </w:tc>
        <w:tc>
          <w:tcPr>
            <w:tcW w:w="2277" w:type="dxa"/>
            <w:tcBorders>
              <w:bottom w:val="single" w:sz="4" w:space="0" w:color="auto"/>
            </w:tcBorders>
          </w:tcPr>
          <w:p w:rsidR="00E550D1" w:rsidRPr="00FF4B7B" w:rsidRDefault="00BA7D96" w:rsidP="00E550D1">
            <w:pPr>
              <w:jc w:val="center"/>
              <w:rPr>
                <w:sz w:val="20"/>
                <w:szCs w:val="20"/>
              </w:rPr>
            </w:pPr>
            <w:r w:rsidRPr="00BA7D96">
              <w:rPr>
                <w:sz w:val="20"/>
                <w:szCs w:val="20"/>
              </w:rPr>
              <w:t>0.740</w:t>
            </w:r>
          </w:p>
        </w:tc>
        <w:tc>
          <w:tcPr>
            <w:tcW w:w="2277" w:type="dxa"/>
            <w:tcBorders>
              <w:bottom w:val="single" w:sz="4" w:space="0" w:color="auto"/>
            </w:tcBorders>
          </w:tcPr>
          <w:p w:rsidR="00E550D1" w:rsidRPr="00FF4B7B" w:rsidRDefault="00FD74AD" w:rsidP="00E550D1">
            <w:pPr>
              <w:jc w:val="center"/>
              <w:rPr>
                <w:sz w:val="20"/>
                <w:szCs w:val="20"/>
              </w:rPr>
            </w:pPr>
            <w:r w:rsidRPr="00FD74AD">
              <w:rPr>
                <w:sz w:val="20"/>
                <w:szCs w:val="20"/>
              </w:rPr>
              <w:t>0.938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E550D1" w:rsidRDefault="00FD74AD" w:rsidP="00E550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Iguais</w:t>
            </w:r>
          </w:p>
        </w:tc>
      </w:tr>
    </w:tbl>
    <w:p w:rsidR="00E550D1" w:rsidRDefault="00E550D1" w:rsidP="00D41E15"/>
    <w:p w:rsidR="00B83348" w:rsidRDefault="00EC44DE" w:rsidP="00D41E15">
      <w:r>
        <w:t xml:space="preserve">O </w:t>
      </w:r>
      <w:r w:rsidR="00FD74AD">
        <w:t xml:space="preserve">possível </w:t>
      </w:r>
      <w:r>
        <w:t xml:space="preserve">efeito confundidor da temperatura fim de sopro </w:t>
      </w:r>
      <w:r w:rsidR="00FD74AD">
        <w:t xml:space="preserve">e do input de MgO </w:t>
      </w:r>
      <w:r w:rsidR="008C2AC2">
        <w:t>foram</w:t>
      </w:r>
      <w:r w:rsidR="00FD74AD">
        <w:t xml:space="preserve"> inve</w:t>
      </w:r>
      <w:r w:rsidR="008C2AC2">
        <w:t>stigados</w:t>
      </w:r>
      <w:r w:rsidR="0006239F">
        <w:t xml:space="preserve"> com maior profundidade </w:t>
      </w:r>
      <w:r w:rsidR="008661D2">
        <w:t>usando o agrupamento de três tratamentos</w:t>
      </w:r>
      <w:r w:rsidR="0006239F">
        <w:t>.</w:t>
      </w:r>
      <w:r w:rsidR="002C23A4">
        <w:t xml:space="preserve"> </w:t>
      </w:r>
    </w:p>
    <w:p w:rsidR="00E550D1" w:rsidRDefault="002C23A4" w:rsidP="00D41E15">
      <w:r>
        <w:t xml:space="preserve">Foi realizado um teste T para comparar o </w:t>
      </w:r>
      <w:r w:rsidRPr="002C23A4">
        <w:rPr>
          <w:i/>
        </w:rPr>
        <w:t>input</w:t>
      </w:r>
      <w:r>
        <w:t xml:space="preserve"> de MgO entre as corridas com e sem sodalita do conjunto de dados com três agrupamentos</w:t>
      </w:r>
      <w:r w:rsidR="00DD3AAE">
        <w:t>, ou seja, ignorando a classe placebo</w:t>
      </w:r>
      <w:r>
        <w:t>.</w:t>
      </w:r>
      <w:r w:rsidR="008C2AC2">
        <w:t xml:space="preserve"> O resultado do teste mostrou que </w:t>
      </w:r>
      <w:r w:rsidR="00DD3AAE">
        <w:t xml:space="preserve">não houve variação no input de MgO: </w:t>
      </w:r>
      <w:r w:rsidR="00B83348">
        <w:t>p-valor = 0,</w:t>
      </w:r>
      <w:r w:rsidR="00DD3AAE">
        <w:t>1214</w:t>
      </w:r>
      <w:r w:rsidR="008C2AC2">
        <w:t xml:space="preserve">. </w:t>
      </w:r>
      <w:r w:rsidR="008661D2">
        <w:t>Há variação entre o MgO das corridas com sodalita e com placebo. Essa diferença ocorreu porque as corridas com sodalita são exclusivas do convertedor 5 e as corridas com tratamento placebo do convertedor 4 e estes convertedores trabalharam com teores de MgO visado na escória diferentes durante o experimento.</w:t>
      </w:r>
    </w:p>
    <w:p w:rsidR="00B83348" w:rsidRPr="00B83348" w:rsidRDefault="00B83348" w:rsidP="00D41E15">
      <w:r>
        <w:t>Um teste semelhante foi conduzido para a TFS. A diferença</w:t>
      </w:r>
      <w:r w:rsidR="00DD3AAE">
        <w:t xml:space="preserve"> </w:t>
      </w:r>
      <w:r w:rsidR="008661D2">
        <w:t xml:space="preserve">entre as corridas com e sem sodalita </w:t>
      </w:r>
      <w:r w:rsidR="00DD3AAE">
        <w:t>não</w:t>
      </w:r>
      <w:r>
        <w:t xml:space="preserve"> mostrou-se significativa com média de 1675ºC para as corridas sem sodalita e 16</w:t>
      </w:r>
      <w:r w:rsidR="00DD3AAE">
        <w:t>7</w:t>
      </w:r>
      <w:r>
        <w:t>6ºC para as corridas com sodalita (p-valor = 0,</w:t>
      </w:r>
      <w:r w:rsidR="00DD3AAE">
        <w:t>7439</w:t>
      </w:r>
      <w:r>
        <w:t>).</w:t>
      </w:r>
      <w:r w:rsidR="00026293">
        <w:t xml:space="preserve"> A comparação entre as corridas com sodalita (convertedor 5) e com placebo (convertedor 4) mostrou que a diferença de temperaturas é significativa. A causa da diferença não foi investigada. Como a temperatura menor pode favorecer a desfosforação, a comparação final foi feita deixando de fora o tratamento placebo.</w:t>
      </w:r>
    </w:p>
    <w:p w:rsidR="00DC29D0" w:rsidRDefault="00712A22" w:rsidP="00DC29D0">
      <w:pPr>
        <w:jc w:val="center"/>
        <w:rPr>
          <w:noProof/>
          <w:lang w:eastAsia="pt-BR"/>
        </w:rPr>
      </w:pPr>
      <w:r w:rsidRPr="00B83348">
        <w:rPr>
          <w:noProof/>
          <w:lang w:eastAsia="pt-BR"/>
        </w:rPr>
        <w:lastRenderedPageBreak/>
        <w:drawing>
          <wp:inline distT="0" distB="0" distL="0" distR="0">
            <wp:extent cx="4220322" cy="2110161"/>
            <wp:effectExtent l="19050" t="0" r="8778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22" cy="211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39F" w:rsidRPr="00B83348">
        <w:rPr>
          <w:noProof/>
          <w:lang w:eastAsia="pt-BR"/>
        </w:rPr>
        <w:drawing>
          <wp:inline distT="0" distB="0" distL="0" distR="0">
            <wp:extent cx="4220322" cy="2110161"/>
            <wp:effectExtent l="19050" t="0" r="8778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22" cy="211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39F" w:rsidRPr="00B83348">
        <w:rPr>
          <w:noProof/>
          <w:lang w:eastAsia="pt-BR"/>
        </w:rPr>
        <w:t xml:space="preserve"> </w:t>
      </w:r>
    </w:p>
    <w:p w:rsidR="00712A22" w:rsidRPr="00B83348" w:rsidRDefault="00712A22" w:rsidP="00712A22">
      <w:r>
        <w:t xml:space="preserve">A figura abaixo mostra </w:t>
      </w:r>
      <w:r w:rsidR="00026293">
        <w:t>a</w:t>
      </w:r>
      <w:r>
        <w:t xml:space="preserve"> relação entre o PFS e a TFS. O coeficiente de correlação calculado para o conjunto de dados foi de 0,20</w:t>
      </w:r>
      <w:r w:rsidR="00026293">
        <w:t xml:space="preserve"> (r2 ~ 0,04)</w:t>
      </w:r>
      <w:r>
        <w:t>.</w:t>
      </w:r>
    </w:p>
    <w:p w:rsidR="00FD74AD" w:rsidRPr="00B83348" w:rsidRDefault="00712A22" w:rsidP="00DC29D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43565" cy="2120068"/>
            <wp:effectExtent l="19050" t="0" r="923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65" cy="212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48" w:rsidRDefault="008661D2" w:rsidP="00A8666E">
      <w:r>
        <w:t>Considerando aceitável o nível de isonomia entre os possíveis confundidores, a</w:t>
      </w:r>
      <w:r w:rsidR="00B83348">
        <w:t xml:space="preserve"> comparação entre </w:t>
      </w:r>
      <w:r w:rsidR="00365213">
        <w:t>o fósforo fim de sopro</w:t>
      </w:r>
      <w:r w:rsidR="0036673A">
        <w:t xml:space="preserve"> </w:t>
      </w:r>
      <w:r w:rsidR="003D1362">
        <w:t xml:space="preserve">dos diferentes tratamentos </w:t>
      </w:r>
      <w:r w:rsidR="0036673A">
        <w:t>foi conduzida utilizando análise de variança. O nível de significância utilizado foi o de 5%. A tabela abaixo resume os resultados dos testes</w:t>
      </w:r>
      <w:r w:rsidR="003D13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1"/>
        <w:gridCol w:w="2161"/>
        <w:gridCol w:w="2161"/>
        <w:gridCol w:w="2161"/>
      </w:tblGrid>
      <w:tr w:rsidR="0036673A" w:rsidRPr="0036673A" w:rsidTr="0036673A">
        <w:tc>
          <w:tcPr>
            <w:tcW w:w="2161" w:type="dxa"/>
            <w:tcBorders>
              <w:top w:val="single" w:sz="4" w:space="0" w:color="auto"/>
              <w:bottom w:val="double" w:sz="4" w:space="0" w:color="auto"/>
            </w:tcBorders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 w:rsidRPr="0036673A">
              <w:rPr>
                <w:sz w:val="20"/>
                <w:szCs w:val="20"/>
              </w:rPr>
              <w:lastRenderedPageBreak/>
              <w:t>Agrupamento</w:t>
            </w:r>
          </w:p>
        </w:tc>
        <w:tc>
          <w:tcPr>
            <w:tcW w:w="2161" w:type="dxa"/>
            <w:tcBorders>
              <w:top w:val="single" w:sz="4" w:space="0" w:color="auto"/>
              <w:bottom w:val="double" w:sz="4" w:space="0" w:color="auto"/>
            </w:tcBorders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F</w:t>
            </w:r>
          </w:p>
        </w:tc>
        <w:tc>
          <w:tcPr>
            <w:tcW w:w="2161" w:type="dxa"/>
            <w:tcBorders>
              <w:top w:val="single" w:sz="4" w:space="0" w:color="auto"/>
              <w:bottom w:val="double" w:sz="4" w:space="0" w:color="auto"/>
            </w:tcBorders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p-valor</w:t>
            </w:r>
          </w:p>
        </w:tc>
        <w:tc>
          <w:tcPr>
            <w:tcW w:w="2161" w:type="dxa"/>
            <w:tcBorders>
              <w:top w:val="single" w:sz="4" w:space="0" w:color="auto"/>
              <w:bottom w:val="double" w:sz="4" w:space="0" w:color="auto"/>
            </w:tcBorders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Conclusão</w:t>
            </w:r>
          </w:p>
        </w:tc>
      </w:tr>
      <w:tr w:rsidR="0036673A" w:rsidRPr="0036673A" w:rsidTr="0036673A">
        <w:tc>
          <w:tcPr>
            <w:tcW w:w="2161" w:type="dxa"/>
            <w:tcBorders>
              <w:top w:val="double" w:sz="4" w:space="0" w:color="auto"/>
            </w:tcBorders>
            <w:vAlign w:val="center"/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tratamentos</w:t>
            </w:r>
          </w:p>
        </w:tc>
        <w:tc>
          <w:tcPr>
            <w:tcW w:w="2161" w:type="dxa"/>
            <w:tcBorders>
              <w:top w:val="double" w:sz="4" w:space="0" w:color="auto"/>
            </w:tcBorders>
            <w:vAlign w:val="center"/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2,8313</w:t>
            </w:r>
          </w:p>
        </w:tc>
        <w:tc>
          <w:tcPr>
            <w:tcW w:w="2161" w:type="dxa"/>
            <w:tcBorders>
              <w:top w:val="double" w:sz="4" w:space="0" w:color="auto"/>
            </w:tcBorders>
            <w:vAlign w:val="center"/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0,0945</w:t>
            </w:r>
          </w:p>
        </w:tc>
        <w:tc>
          <w:tcPr>
            <w:tcW w:w="2161" w:type="dxa"/>
            <w:tcBorders>
              <w:top w:val="double" w:sz="4" w:space="0" w:color="auto"/>
            </w:tcBorders>
            <w:vAlign w:val="center"/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PFS Igual entre tratamentos</w:t>
            </w:r>
          </w:p>
        </w:tc>
      </w:tr>
      <w:tr w:rsidR="0036673A" w:rsidRPr="0036673A" w:rsidTr="0036673A"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tratamentos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1,9441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0,1653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vAlign w:val="center"/>
          </w:tcPr>
          <w:p w:rsidR="0036673A" w:rsidRPr="0036673A" w:rsidRDefault="0036673A" w:rsidP="0036673A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PFS Igual entre tratamentos</w:t>
            </w:r>
          </w:p>
        </w:tc>
      </w:tr>
    </w:tbl>
    <w:p w:rsidR="0036673A" w:rsidRDefault="0036673A" w:rsidP="00B83348">
      <w:pPr>
        <w:jc w:val="left"/>
      </w:pPr>
    </w:p>
    <w:p w:rsidR="003D1362" w:rsidRDefault="003D1362" w:rsidP="00B83348">
      <w:pPr>
        <w:jc w:val="left"/>
      </w:pPr>
      <w:r>
        <w:t>A conlusão do teste aponta que não há diferença significativa no PFS entre as corridas.</w:t>
      </w:r>
    </w:p>
    <w:p w:rsidR="00712A22" w:rsidRDefault="0036673A" w:rsidP="0036673A">
      <w:r>
        <w:t xml:space="preserve">O gráfico abaixo </w:t>
      </w:r>
      <w:r w:rsidR="003D1362">
        <w:t xml:space="preserve">compara </w:t>
      </w:r>
      <w:r>
        <w:t>o PFS</w:t>
      </w:r>
      <w:r w:rsidR="00A8666E">
        <w:t xml:space="preserve"> para o agrupamento com 2 tratamentos. Não há diferença estatisticamente significativa entre o PFS entre as corridas com e sem sodalita.</w:t>
      </w:r>
    </w:p>
    <w:p w:rsidR="00306B69" w:rsidRPr="00B83348" w:rsidRDefault="005A6944" w:rsidP="005A694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59357" cy="18773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57" cy="187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13" w:rsidRDefault="00365213" w:rsidP="00365213">
      <w:pPr>
        <w:pStyle w:val="Ttulo3"/>
      </w:pPr>
      <w:r>
        <w:t>Resultados nos aços UBC</w:t>
      </w:r>
    </w:p>
    <w:p w:rsidR="00EB49CD" w:rsidRDefault="00EB49CD" w:rsidP="00EB49CD">
      <w:r>
        <w:t>O tratamento inicial dos dados foi realizado de maneira análoga ao aço comum. O tamanho do conjunto de dados final foi 187.</w:t>
      </w:r>
      <w:r w:rsidR="00F5548D">
        <w:t xml:space="preserve"> A distribuição do [P] visado no produto é mostrada a seguir:</w:t>
      </w:r>
    </w:p>
    <w:tbl>
      <w:tblPr>
        <w:tblStyle w:val="Tabelacomgrade"/>
        <w:tblpPr w:leftFromText="141" w:rightFromText="141" w:vertAnchor="text" w:horzAnchor="page" w:tblpX="6862" w:tblpY="5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3"/>
        <w:gridCol w:w="998"/>
      </w:tblGrid>
      <w:tr w:rsidR="00F5548D" w:rsidRPr="00D72BB9" w:rsidTr="00F5548D">
        <w:tc>
          <w:tcPr>
            <w:tcW w:w="953" w:type="dxa"/>
            <w:tcBorders>
              <w:top w:val="single" w:sz="4" w:space="0" w:color="auto"/>
              <w:bottom w:val="double" w:sz="4" w:space="0" w:color="auto"/>
            </w:tcBorders>
          </w:tcPr>
          <w:p w:rsidR="00F5548D" w:rsidRPr="00D72BB9" w:rsidRDefault="00F5548D" w:rsidP="00F5548D">
            <w:pPr>
              <w:jc w:val="center"/>
              <w:rPr>
                <w:sz w:val="18"/>
                <w:szCs w:val="18"/>
              </w:rPr>
            </w:pPr>
            <w:r w:rsidRPr="00D72BB9">
              <w:rPr>
                <w:sz w:val="18"/>
                <w:szCs w:val="18"/>
              </w:rPr>
              <w:t>[P] vis</w:t>
            </w:r>
          </w:p>
        </w:tc>
        <w:tc>
          <w:tcPr>
            <w:tcW w:w="998" w:type="dxa"/>
            <w:tcBorders>
              <w:top w:val="single" w:sz="4" w:space="0" w:color="auto"/>
              <w:bottom w:val="double" w:sz="4" w:space="0" w:color="auto"/>
            </w:tcBorders>
          </w:tcPr>
          <w:p w:rsidR="00F5548D" w:rsidRPr="00D72BB9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contagem</w:t>
            </w:r>
          </w:p>
        </w:tc>
      </w:tr>
      <w:tr w:rsidR="00F5548D" w:rsidRPr="00D72BB9" w:rsidTr="00F5548D">
        <w:tc>
          <w:tcPr>
            <w:tcW w:w="953" w:type="dxa"/>
            <w:tcBorders>
              <w:top w:val="double" w:sz="4" w:space="0" w:color="auto"/>
            </w:tcBorders>
          </w:tcPr>
          <w:p w:rsidR="00F5548D" w:rsidRPr="00D72BB9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8" w:type="dxa"/>
            <w:tcBorders>
              <w:top w:val="double" w:sz="4" w:space="0" w:color="auto"/>
            </w:tcBorders>
          </w:tcPr>
          <w:p w:rsidR="00F5548D" w:rsidRPr="00D72BB9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</w:tr>
      <w:tr w:rsidR="00F5548D" w:rsidRPr="00D72BB9" w:rsidTr="00F5548D">
        <w:tc>
          <w:tcPr>
            <w:tcW w:w="953" w:type="dxa"/>
          </w:tcPr>
          <w:p w:rsidR="00F5548D" w:rsidRPr="00D72BB9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98" w:type="dxa"/>
          </w:tcPr>
          <w:p w:rsidR="00F5548D" w:rsidRPr="00D72BB9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</w:tr>
      <w:tr w:rsidR="00F5548D" w:rsidRPr="00D72BB9" w:rsidTr="00F5548D">
        <w:tc>
          <w:tcPr>
            <w:tcW w:w="953" w:type="dxa"/>
          </w:tcPr>
          <w:p w:rsidR="00F5548D" w:rsidRPr="00D72BB9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98" w:type="dxa"/>
          </w:tcPr>
          <w:p w:rsidR="00F5548D" w:rsidRPr="00D72BB9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</w:tr>
      <w:tr w:rsidR="00F5548D" w:rsidRPr="00D72BB9" w:rsidTr="00F5548D">
        <w:tc>
          <w:tcPr>
            <w:tcW w:w="953" w:type="dxa"/>
            <w:tcBorders>
              <w:bottom w:val="single" w:sz="4" w:space="0" w:color="auto"/>
            </w:tcBorders>
          </w:tcPr>
          <w:p w:rsidR="00F5548D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F5548D" w:rsidRPr="00D72BB9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5548D" w:rsidRPr="00D72BB9" w:rsidTr="00F5548D">
        <w:tc>
          <w:tcPr>
            <w:tcW w:w="953" w:type="dxa"/>
            <w:tcBorders>
              <w:top w:val="single" w:sz="4" w:space="0" w:color="auto"/>
            </w:tcBorders>
          </w:tcPr>
          <w:p w:rsidR="00F5548D" w:rsidRDefault="00F5548D" w:rsidP="00F554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:rsidR="00F5548D" w:rsidRDefault="00F5548D" w:rsidP="00F554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7</w:t>
            </w:r>
          </w:p>
        </w:tc>
      </w:tr>
    </w:tbl>
    <w:p w:rsidR="00F5548D" w:rsidRPr="00EB49CD" w:rsidRDefault="00F5548D" w:rsidP="00F5548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36226" cy="1888671"/>
            <wp:effectExtent l="19050" t="0" r="6974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78" cy="188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8D" w:rsidRDefault="00F5548D" w:rsidP="00F5548D">
      <w:r>
        <w:t>O processo de remoção de outliers foi conduzido em 2 rodadas. O número de observações removidas foi 30.</w:t>
      </w:r>
    </w:p>
    <w:p w:rsidR="00F5548D" w:rsidRDefault="00F5548D" w:rsidP="00F5548D">
      <w:r>
        <w:t>O teste de isonomia foi conduzido de maneira análoga. Por questões de disponibilidade de dados foi considerado o carbono e fósforo da amostra de panela (P1) ao invés da amostra fim de sopro. E a temperatura de comparação foi a temperatura medida na panela. Os resultados são apresentados na tabela abaixo: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25"/>
        <w:gridCol w:w="2277"/>
        <w:gridCol w:w="2277"/>
        <w:gridCol w:w="1841"/>
      </w:tblGrid>
      <w:tr w:rsidR="00F5548D" w:rsidRPr="00FF4B7B" w:rsidTr="008D3E85">
        <w:trPr>
          <w:jc w:val="center"/>
        </w:trPr>
        <w:tc>
          <w:tcPr>
            <w:tcW w:w="2325" w:type="dxa"/>
            <w:tcBorders>
              <w:top w:val="single" w:sz="4" w:space="0" w:color="auto"/>
              <w:bottom w:val="double" w:sz="4" w:space="0" w:color="auto"/>
            </w:tcBorders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Confundidor\p-valor</w:t>
            </w:r>
          </w:p>
        </w:tc>
        <w:tc>
          <w:tcPr>
            <w:tcW w:w="2277" w:type="dxa"/>
            <w:tcBorders>
              <w:top w:val="single" w:sz="4" w:space="0" w:color="auto"/>
              <w:bottom w:val="double" w:sz="4" w:space="0" w:color="auto"/>
            </w:tcBorders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dois agrupamentos</w:t>
            </w:r>
          </w:p>
        </w:tc>
        <w:tc>
          <w:tcPr>
            <w:tcW w:w="2277" w:type="dxa"/>
            <w:tcBorders>
              <w:top w:val="single" w:sz="4" w:space="0" w:color="auto"/>
              <w:bottom w:val="double" w:sz="4" w:space="0" w:color="auto"/>
            </w:tcBorders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três agrupamentos</w:t>
            </w:r>
          </w:p>
        </w:tc>
        <w:tc>
          <w:tcPr>
            <w:tcW w:w="1841" w:type="dxa"/>
            <w:tcBorders>
              <w:top w:val="single" w:sz="4" w:space="0" w:color="auto"/>
              <w:bottom w:val="double" w:sz="4" w:space="0" w:color="auto"/>
            </w:tcBorders>
          </w:tcPr>
          <w:p w:rsidR="00F5548D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Conclusão</w:t>
            </w:r>
          </w:p>
        </w:tc>
      </w:tr>
      <w:tr w:rsidR="00F5548D" w:rsidRPr="00FF4B7B" w:rsidTr="008D3E85">
        <w:trPr>
          <w:jc w:val="center"/>
        </w:trPr>
        <w:tc>
          <w:tcPr>
            <w:tcW w:w="2325" w:type="dxa"/>
            <w:tcBorders>
              <w:top w:val="double" w:sz="4" w:space="0" w:color="auto"/>
            </w:tcBorders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TFS</w:t>
            </w:r>
          </w:p>
        </w:tc>
        <w:tc>
          <w:tcPr>
            <w:tcW w:w="2277" w:type="dxa"/>
            <w:tcBorders>
              <w:top w:val="double" w:sz="4" w:space="0" w:color="auto"/>
            </w:tcBorders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0,593</w:t>
            </w:r>
          </w:p>
        </w:tc>
        <w:tc>
          <w:tcPr>
            <w:tcW w:w="2277" w:type="dxa"/>
            <w:tcBorders>
              <w:top w:val="double" w:sz="4" w:space="0" w:color="auto"/>
            </w:tcBorders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0,718</w:t>
            </w:r>
          </w:p>
        </w:tc>
        <w:tc>
          <w:tcPr>
            <w:tcW w:w="1841" w:type="dxa"/>
            <w:tcBorders>
              <w:top w:val="double" w:sz="4" w:space="0" w:color="auto"/>
            </w:tcBorders>
          </w:tcPr>
          <w:p w:rsidR="00F5548D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Iguais</w:t>
            </w:r>
          </w:p>
        </w:tc>
      </w:tr>
      <w:tr w:rsidR="00F5548D" w:rsidRPr="00FF4B7B" w:rsidTr="008D3E85">
        <w:trPr>
          <w:jc w:val="center"/>
        </w:trPr>
        <w:tc>
          <w:tcPr>
            <w:tcW w:w="2325" w:type="dxa"/>
          </w:tcPr>
          <w:p w:rsidR="00F5548D" w:rsidRPr="00A363E7" w:rsidRDefault="00F5548D" w:rsidP="00A363E7">
            <w:pPr>
              <w:keepNext/>
              <w:keepLines/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CFS</w:t>
            </w:r>
          </w:p>
        </w:tc>
        <w:tc>
          <w:tcPr>
            <w:tcW w:w="2277" w:type="dxa"/>
          </w:tcPr>
          <w:p w:rsidR="00F5548D" w:rsidRPr="00A363E7" w:rsidRDefault="00F5548D" w:rsidP="00A363E7">
            <w:pPr>
              <w:keepNext/>
              <w:keepLines/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0,006</w:t>
            </w:r>
          </w:p>
        </w:tc>
        <w:tc>
          <w:tcPr>
            <w:tcW w:w="2277" w:type="dxa"/>
          </w:tcPr>
          <w:p w:rsidR="00F5548D" w:rsidRPr="00A363E7" w:rsidRDefault="00F5548D" w:rsidP="00A363E7">
            <w:pPr>
              <w:keepNext/>
              <w:keepLines/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0,016</w:t>
            </w:r>
          </w:p>
        </w:tc>
        <w:tc>
          <w:tcPr>
            <w:tcW w:w="1841" w:type="dxa"/>
          </w:tcPr>
          <w:p w:rsidR="00F5548D" w:rsidRPr="00A363E7" w:rsidRDefault="00F5548D" w:rsidP="00A363E7">
            <w:pPr>
              <w:keepNext/>
              <w:keepLines/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Diferentes</w:t>
            </w:r>
          </w:p>
        </w:tc>
      </w:tr>
      <w:tr w:rsidR="00F5548D" w:rsidRPr="00FF4B7B" w:rsidTr="008D3E85">
        <w:trPr>
          <w:jc w:val="center"/>
        </w:trPr>
        <w:tc>
          <w:tcPr>
            <w:tcW w:w="2325" w:type="dxa"/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MgO</w:t>
            </w:r>
          </w:p>
        </w:tc>
        <w:tc>
          <w:tcPr>
            <w:tcW w:w="2277" w:type="dxa"/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0,077</w:t>
            </w:r>
          </w:p>
        </w:tc>
        <w:tc>
          <w:tcPr>
            <w:tcW w:w="2277" w:type="dxa"/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0,133</w:t>
            </w:r>
          </w:p>
        </w:tc>
        <w:tc>
          <w:tcPr>
            <w:tcW w:w="1841" w:type="dxa"/>
          </w:tcPr>
          <w:p w:rsidR="00F5548D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Iguais</w:t>
            </w:r>
          </w:p>
        </w:tc>
      </w:tr>
      <w:tr w:rsidR="00F5548D" w:rsidRPr="00FF4B7B" w:rsidTr="008D3E85">
        <w:trPr>
          <w:jc w:val="center"/>
        </w:trPr>
        <w:tc>
          <w:tcPr>
            <w:tcW w:w="2325" w:type="dxa"/>
          </w:tcPr>
          <w:p w:rsidR="00F5548D" w:rsidRPr="00A363E7" w:rsidRDefault="00F5548D" w:rsidP="00A363E7">
            <w:pPr>
              <w:keepNext/>
              <w:keepLines/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CaO/Si</w:t>
            </w:r>
          </w:p>
        </w:tc>
        <w:tc>
          <w:tcPr>
            <w:tcW w:w="2277" w:type="dxa"/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0,063</w:t>
            </w:r>
          </w:p>
        </w:tc>
        <w:tc>
          <w:tcPr>
            <w:tcW w:w="2277" w:type="dxa"/>
          </w:tcPr>
          <w:p w:rsidR="00F5548D" w:rsidRPr="00A363E7" w:rsidRDefault="00F5548D" w:rsidP="00A363E7">
            <w:pPr>
              <w:keepNext/>
              <w:keepLines/>
              <w:jc w:val="center"/>
              <w:rPr>
                <w:color w:val="FF0000"/>
                <w:sz w:val="20"/>
                <w:szCs w:val="20"/>
              </w:rPr>
            </w:pPr>
            <w:r w:rsidRPr="00A363E7">
              <w:rPr>
                <w:color w:val="FF0000"/>
                <w:sz w:val="20"/>
                <w:szCs w:val="20"/>
              </w:rPr>
              <w:t>0,020</w:t>
            </w:r>
          </w:p>
        </w:tc>
        <w:tc>
          <w:tcPr>
            <w:tcW w:w="1841" w:type="dxa"/>
          </w:tcPr>
          <w:p w:rsidR="00F5548D" w:rsidRDefault="00A363E7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Iguais/diferentes</w:t>
            </w:r>
          </w:p>
        </w:tc>
      </w:tr>
      <w:tr w:rsidR="00F5548D" w:rsidRPr="00FF4B7B" w:rsidTr="008D3E85">
        <w:trPr>
          <w:jc w:val="center"/>
        </w:trPr>
        <w:tc>
          <w:tcPr>
            <w:tcW w:w="2325" w:type="dxa"/>
            <w:tcBorders>
              <w:bottom w:val="single" w:sz="4" w:space="0" w:color="auto"/>
            </w:tcBorders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gusa</w:t>
            </w:r>
          </w:p>
        </w:tc>
        <w:tc>
          <w:tcPr>
            <w:tcW w:w="2277" w:type="dxa"/>
            <w:tcBorders>
              <w:bottom w:val="single" w:sz="4" w:space="0" w:color="auto"/>
            </w:tcBorders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0,909</w:t>
            </w:r>
          </w:p>
        </w:tc>
        <w:tc>
          <w:tcPr>
            <w:tcW w:w="2277" w:type="dxa"/>
            <w:tcBorders>
              <w:bottom w:val="single" w:sz="4" w:space="0" w:color="auto"/>
            </w:tcBorders>
          </w:tcPr>
          <w:p w:rsidR="00F5548D" w:rsidRPr="00FF4B7B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0,469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F5548D" w:rsidRDefault="00F5548D" w:rsidP="00A363E7">
            <w:pPr>
              <w:keepNext/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Iguais</w:t>
            </w:r>
          </w:p>
        </w:tc>
      </w:tr>
    </w:tbl>
    <w:p w:rsidR="00F5548D" w:rsidRDefault="00F5548D" w:rsidP="00F5548D"/>
    <w:p w:rsidR="00F62E97" w:rsidRPr="00F62E97" w:rsidRDefault="00F62E97" w:rsidP="00F5548D">
      <w:pPr>
        <w:rPr>
          <w:u w:val="single"/>
        </w:rPr>
      </w:pPr>
      <w:r>
        <w:t>A diferença no CFS e no input de CaO foi atribuido ao fato de haver concentração do uso de sodalita nas corridas com [P] visado menor. A tabela abaixo mostra a distribuição dos tratamentos com relação ao [P] visado: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1531"/>
        <w:gridCol w:w="1532"/>
        <w:gridCol w:w="1531"/>
        <w:gridCol w:w="1532"/>
      </w:tblGrid>
      <w:tr w:rsidR="00F62E97" w:rsidRPr="00F62E97" w:rsidTr="00F62E97">
        <w:tc>
          <w:tcPr>
            <w:tcW w:w="2518" w:type="dxa"/>
            <w:tcBorders>
              <w:top w:val="single" w:sz="4" w:space="0" w:color="auto"/>
              <w:bottom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Tratamento/[P] visado</w:t>
            </w:r>
          </w:p>
        </w:tc>
        <w:tc>
          <w:tcPr>
            <w:tcW w:w="1531" w:type="dxa"/>
            <w:tcBorders>
              <w:top w:val="single" w:sz="4" w:space="0" w:color="auto"/>
              <w:bottom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P=10</w:t>
            </w:r>
          </w:p>
        </w:tc>
        <w:tc>
          <w:tcPr>
            <w:tcW w:w="1532" w:type="dxa"/>
            <w:tcBorders>
              <w:top w:val="single" w:sz="4" w:space="0" w:color="auto"/>
              <w:bottom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P=12</w:t>
            </w:r>
          </w:p>
        </w:tc>
        <w:tc>
          <w:tcPr>
            <w:tcW w:w="1531" w:type="dxa"/>
            <w:tcBorders>
              <w:top w:val="single" w:sz="4" w:space="0" w:color="auto"/>
              <w:bottom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P=15</w:t>
            </w:r>
          </w:p>
        </w:tc>
        <w:tc>
          <w:tcPr>
            <w:tcW w:w="1532" w:type="dxa"/>
            <w:tcBorders>
              <w:top w:val="single" w:sz="4" w:space="0" w:color="auto"/>
              <w:bottom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P=30</w:t>
            </w:r>
          </w:p>
        </w:tc>
      </w:tr>
      <w:tr w:rsidR="00F62E97" w:rsidRPr="00F62E97" w:rsidTr="00F62E97">
        <w:tc>
          <w:tcPr>
            <w:tcW w:w="2518" w:type="dxa"/>
            <w:tcBorders>
              <w:top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 sodalita</w:t>
            </w:r>
          </w:p>
        </w:tc>
        <w:tc>
          <w:tcPr>
            <w:tcW w:w="1531" w:type="dxa"/>
            <w:tcBorders>
              <w:top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32" w:type="dxa"/>
            <w:tcBorders>
              <w:top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531" w:type="dxa"/>
            <w:tcBorders>
              <w:top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32" w:type="dxa"/>
            <w:tcBorders>
              <w:top w:val="doub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62E97" w:rsidRPr="00F62E97" w:rsidTr="00F62E97">
        <w:tc>
          <w:tcPr>
            <w:tcW w:w="2518" w:type="dxa"/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Placebo</w:t>
            </w:r>
          </w:p>
        </w:tc>
        <w:tc>
          <w:tcPr>
            <w:tcW w:w="1531" w:type="dxa"/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532" w:type="dxa"/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1" w:type="dxa"/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32" w:type="dxa"/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62E97" w:rsidRPr="00F62E97" w:rsidTr="00F62E97">
        <w:tc>
          <w:tcPr>
            <w:tcW w:w="2518" w:type="dxa"/>
            <w:tcBorders>
              <w:bottom w:val="sing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sodalita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:rsidR="00F62E97" w:rsidRPr="00F62E97" w:rsidRDefault="00F62E97" w:rsidP="00F62E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7D2570" w:rsidRDefault="007D2570" w:rsidP="00F5548D"/>
    <w:p w:rsidR="00F62E97" w:rsidRDefault="00F62E97" w:rsidP="00F5548D">
      <w:r>
        <w:t>Para contornar este problema foi realizado o teste de isonomia por faixa de fósforo.</w:t>
      </w:r>
      <w:r w:rsidR="00307C10">
        <w:t xml:space="preserve"> </w:t>
      </w:r>
      <w:r w:rsidR="007D2570">
        <w:t>O resultado é apresentado na tabela a seguir.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1531"/>
        <w:gridCol w:w="1532"/>
        <w:gridCol w:w="1531"/>
        <w:gridCol w:w="1532"/>
      </w:tblGrid>
      <w:tr w:rsidR="00307C10" w:rsidRPr="00F62E97" w:rsidTr="008D3E85">
        <w:tc>
          <w:tcPr>
            <w:tcW w:w="2518" w:type="dxa"/>
            <w:tcBorders>
              <w:top w:val="single" w:sz="4" w:space="0" w:color="auto"/>
              <w:bottom w:val="double" w:sz="4" w:space="0" w:color="auto"/>
            </w:tcBorders>
          </w:tcPr>
          <w:p w:rsidR="00307C10" w:rsidRPr="00F62E97" w:rsidRDefault="00307C1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Tratamento/[P] visado</w:t>
            </w:r>
          </w:p>
        </w:tc>
        <w:tc>
          <w:tcPr>
            <w:tcW w:w="1531" w:type="dxa"/>
            <w:tcBorders>
              <w:top w:val="single" w:sz="4" w:space="0" w:color="auto"/>
              <w:bottom w:val="double" w:sz="4" w:space="0" w:color="auto"/>
            </w:tcBorders>
          </w:tcPr>
          <w:p w:rsidR="00307C10" w:rsidRPr="00F62E97" w:rsidRDefault="00307C1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P=10</w:t>
            </w:r>
          </w:p>
        </w:tc>
        <w:tc>
          <w:tcPr>
            <w:tcW w:w="1532" w:type="dxa"/>
            <w:tcBorders>
              <w:top w:val="single" w:sz="4" w:space="0" w:color="auto"/>
              <w:bottom w:val="double" w:sz="4" w:space="0" w:color="auto"/>
            </w:tcBorders>
          </w:tcPr>
          <w:p w:rsidR="00307C10" w:rsidRPr="00F62E97" w:rsidRDefault="00307C1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P=12</w:t>
            </w:r>
          </w:p>
        </w:tc>
        <w:tc>
          <w:tcPr>
            <w:tcW w:w="1531" w:type="dxa"/>
            <w:tcBorders>
              <w:top w:val="single" w:sz="4" w:space="0" w:color="auto"/>
              <w:bottom w:val="double" w:sz="4" w:space="0" w:color="auto"/>
            </w:tcBorders>
          </w:tcPr>
          <w:p w:rsidR="00307C10" w:rsidRPr="00F62E97" w:rsidRDefault="00307C1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P=15</w:t>
            </w:r>
          </w:p>
        </w:tc>
        <w:tc>
          <w:tcPr>
            <w:tcW w:w="1532" w:type="dxa"/>
            <w:tcBorders>
              <w:top w:val="single" w:sz="4" w:space="0" w:color="auto"/>
              <w:bottom w:val="double" w:sz="4" w:space="0" w:color="auto"/>
            </w:tcBorders>
          </w:tcPr>
          <w:p w:rsidR="00307C10" w:rsidRPr="00F62E97" w:rsidRDefault="00307C1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P=30</w:t>
            </w:r>
          </w:p>
        </w:tc>
      </w:tr>
      <w:tr w:rsidR="007D2570" w:rsidRPr="00F62E97" w:rsidTr="007D2570">
        <w:trPr>
          <w:trHeight w:val="490"/>
        </w:trPr>
        <w:tc>
          <w:tcPr>
            <w:tcW w:w="2518" w:type="dxa"/>
            <w:tcBorders>
              <w:top w:val="double" w:sz="4" w:space="0" w:color="auto"/>
              <w:bottom w:val="nil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TFS</w:t>
            </w:r>
          </w:p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CFS</w:t>
            </w:r>
          </w:p>
        </w:tc>
        <w:tc>
          <w:tcPr>
            <w:tcW w:w="1531" w:type="dxa"/>
            <w:tcBorders>
              <w:top w:val="double" w:sz="4" w:space="0" w:color="auto"/>
              <w:bottom w:val="nil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0,094</w:t>
            </w:r>
          </w:p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0,389</w:t>
            </w:r>
          </w:p>
        </w:tc>
        <w:tc>
          <w:tcPr>
            <w:tcW w:w="1532" w:type="dxa"/>
            <w:tcBorders>
              <w:top w:val="double" w:sz="4" w:space="0" w:color="auto"/>
              <w:bottom w:val="nil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0,085</w:t>
            </w:r>
          </w:p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0,942</w:t>
            </w:r>
          </w:p>
        </w:tc>
        <w:tc>
          <w:tcPr>
            <w:tcW w:w="1531" w:type="dxa"/>
            <w:tcBorders>
              <w:top w:val="double" w:sz="4" w:space="0" w:color="auto"/>
              <w:bottom w:val="nil"/>
            </w:tcBorders>
          </w:tcPr>
          <w:p w:rsidR="007D2570" w:rsidRPr="007D2570" w:rsidRDefault="007D2570" w:rsidP="008D3E85">
            <w:pPr>
              <w:jc w:val="center"/>
              <w:rPr>
                <w:sz w:val="20"/>
                <w:szCs w:val="20"/>
              </w:rPr>
            </w:pPr>
            <w:r w:rsidRPr="007D2570">
              <w:rPr>
                <w:sz w:val="20"/>
                <w:szCs w:val="20"/>
              </w:rPr>
              <w:t>0,725</w:t>
            </w:r>
          </w:p>
          <w:p w:rsidR="007D2570" w:rsidRPr="007D2570" w:rsidRDefault="007D2570" w:rsidP="008D3E85">
            <w:pPr>
              <w:jc w:val="center"/>
              <w:rPr>
                <w:sz w:val="20"/>
                <w:szCs w:val="20"/>
              </w:rPr>
            </w:pPr>
            <w:r w:rsidRPr="007D2570">
              <w:rPr>
                <w:color w:val="FF0000"/>
                <w:sz w:val="20"/>
                <w:szCs w:val="20"/>
              </w:rPr>
              <w:t>0,024</w:t>
            </w:r>
          </w:p>
        </w:tc>
        <w:tc>
          <w:tcPr>
            <w:tcW w:w="1532" w:type="dxa"/>
            <w:tcBorders>
              <w:top w:val="double" w:sz="4" w:space="0" w:color="auto"/>
              <w:bottom w:val="nil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N/D</w:t>
            </w:r>
          </w:p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N/D</w:t>
            </w:r>
          </w:p>
        </w:tc>
      </w:tr>
      <w:tr w:rsidR="007D2570" w:rsidRPr="00F62E97" w:rsidTr="007D2570">
        <w:trPr>
          <w:trHeight w:val="460"/>
        </w:trPr>
        <w:tc>
          <w:tcPr>
            <w:tcW w:w="2518" w:type="dxa"/>
            <w:tcBorders>
              <w:bottom w:val="nil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MgO</w:t>
            </w:r>
          </w:p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CaO/Si</w:t>
            </w:r>
          </w:p>
        </w:tc>
        <w:tc>
          <w:tcPr>
            <w:tcW w:w="1531" w:type="dxa"/>
            <w:tcBorders>
              <w:bottom w:val="nil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0,602</w:t>
            </w:r>
          </w:p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0,156</w:t>
            </w:r>
          </w:p>
        </w:tc>
        <w:tc>
          <w:tcPr>
            <w:tcW w:w="1532" w:type="dxa"/>
            <w:tcBorders>
              <w:bottom w:val="nil"/>
            </w:tcBorders>
          </w:tcPr>
          <w:p w:rsidR="007D2570" w:rsidRPr="007D2570" w:rsidRDefault="007D2570" w:rsidP="008D3E85">
            <w:pPr>
              <w:jc w:val="center"/>
              <w:rPr>
                <w:sz w:val="20"/>
                <w:szCs w:val="20"/>
              </w:rPr>
            </w:pPr>
            <w:r w:rsidRPr="007D2570">
              <w:rPr>
                <w:sz w:val="20"/>
                <w:szCs w:val="20"/>
              </w:rPr>
              <w:t>0,358</w:t>
            </w:r>
          </w:p>
          <w:p w:rsidR="007D2570" w:rsidRPr="007D2570" w:rsidRDefault="007D2570" w:rsidP="008D3E85">
            <w:pPr>
              <w:jc w:val="center"/>
              <w:rPr>
                <w:sz w:val="20"/>
                <w:szCs w:val="20"/>
              </w:rPr>
            </w:pPr>
            <w:r w:rsidRPr="007D2570">
              <w:rPr>
                <w:color w:val="FF0000"/>
                <w:sz w:val="20"/>
                <w:szCs w:val="20"/>
              </w:rPr>
              <w:t>0,012</w:t>
            </w:r>
          </w:p>
        </w:tc>
        <w:tc>
          <w:tcPr>
            <w:tcW w:w="1531" w:type="dxa"/>
            <w:tcBorders>
              <w:bottom w:val="nil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0,589</w:t>
            </w:r>
          </w:p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0,460</w:t>
            </w:r>
          </w:p>
        </w:tc>
        <w:tc>
          <w:tcPr>
            <w:tcW w:w="1532" w:type="dxa"/>
            <w:tcBorders>
              <w:bottom w:val="nil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N/D</w:t>
            </w:r>
          </w:p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N/D</w:t>
            </w:r>
          </w:p>
        </w:tc>
      </w:tr>
      <w:tr w:rsidR="007D2570" w:rsidRPr="00F62E97" w:rsidTr="008D3E85">
        <w:tc>
          <w:tcPr>
            <w:tcW w:w="2518" w:type="dxa"/>
            <w:tcBorders>
              <w:bottom w:val="single" w:sz="4" w:space="0" w:color="auto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gusa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0,161</w:t>
            </w:r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:rsidR="007D2570" w:rsidRPr="007D2570" w:rsidRDefault="007D2570" w:rsidP="008D3E85">
            <w:pPr>
              <w:jc w:val="center"/>
              <w:rPr>
                <w:sz w:val="20"/>
                <w:szCs w:val="20"/>
              </w:rPr>
            </w:pPr>
            <w:r w:rsidRPr="007D2570">
              <w:rPr>
                <w:sz w:val="20"/>
                <w:szCs w:val="20"/>
              </w:rPr>
              <w:t>0,250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0,879</w:t>
            </w:r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:rsidR="007D2570" w:rsidRDefault="007D2570" w:rsidP="008D3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N/D</w:t>
            </w:r>
          </w:p>
        </w:tc>
      </w:tr>
    </w:tbl>
    <w:p w:rsidR="00307C10" w:rsidRDefault="00307C10" w:rsidP="00F5548D"/>
    <w:p w:rsidR="007D2570" w:rsidRDefault="007D2570" w:rsidP="00F5548D">
      <w:r>
        <w:t>A comparação por faixa de fósforo pode ser conduzida para as corridas com P=10 sem restrição. Nas corridas com P=12, existe diferença</w:t>
      </w:r>
      <w:r w:rsidR="00A02D81">
        <w:t xml:space="preserve"> significativa no </w:t>
      </w:r>
      <w:r w:rsidR="00A02D81" w:rsidRPr="00584639">
        <w:rPr>
          <w:i/>
        </w:rPr>
        <w:t>input</w:t>
      </w:r>
      <w:r w:rsidR="00A02D81">
        <w:t xml:space="preserve"> de CaO/Si. A análise detalhada da diferença (figura abaixo)</w:t>
      </w:r>
      <w:r w:rsidR="00584639">
        <w:t xml:space="preserve"> indica que o maior </w:t>
      </w:r>
      <w:r w:rsidR="00584639" w:rsidRPr="00584639">
        <w:rPr>
          <w:i/>
        </w:rPr>
        <w:t>input</w:t>
      </w:r>
      <w:r w:rsidR="00584639">
        <w:t xml:space="preserve"> específico de CaO ocorreu nas corridas com adição de sodalita, o que permite que a conclusão seja válida.</w:t>
      </w:r>
    </w:p>
    <w:p w:rsidR="00A02D81" w:rsidRDefault="00A02D81" w:rsidP="00A02D8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12745" cy="1845128"/>
            <wp:effectExtent l="19050" t="0" r="1905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8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84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E4" w:rsidRDefault="00DD63E4" w:rsidP="00DD63E4">
      <w:r>
        <w:t>A avaliação do teor de [P] na panela foi avaliado separadamente por faixa de fósforo visado para as corridas com P=10 e P=12, onde há garantia de igualdade de condições entre os tratamentos.</w:t>
      </w:r>
      <w:r w:rsidR="001642BE">
        <w:t xml:space="preserve"> A análise de variança mostrou que não há diferença entre o P final das corridas com P=12 pontos, p-valor = 0,6045. Para as corridas com P=10 pontos foi detectada diferença entre os tratamentos, p-valor &lt; 0,001.</w:t>
      </w:r>
      <w:r w:rsidR="00AD4C88">
        <w:t xml:space="preserve"> Contudo, a diferença foi favorável às corridas sem adição de sodalita, conforme mostrado nos gráficos a seguir.</w:t>
      </w:r>
    </w:p>
    <w:p w:rsidR="00DD63E4" w:rsidRPr="00EB49CD" w:rsidRDefault="00DD63E4" w:rsidP="00A02D8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286198" cy="1856393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98" cy="185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286198" cy="1856393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98" cy="185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92" w:rsidRDefault="0036673A" w:rsidP="0036673A">
      <w:pPr>
        <w:pStyle w:val="Ttulo2"/>
      </w:pPr>
      <w:r>
        <w:t>Conclusões</w:t>
      </w:r>
    </w:p>
    <w:p w:rsidR="00A8666E" w:rsidRDefault="00A8666E" w:rsidP="003D1362">
      <w:r>
        <w:t xml:space="preserve">A análise de possíveis confundidores mostrou que o carbono final, </w:t>
      </w:r>
      <w:r w:rsidRPr="00B83348">
        <w:rPr>
          <w:i/>
        </w:rPr>
        <w:t>input</w:t>
      </w:r>
      <w:r>
        <w:t xml:space="preserve"> de CaO/Si e fósforo do gusa foram iguais para as corridas comuns com </w:t>
      </w:r>
      <w:r w:rsidR="002C351D">
        <w:t xml:space="preserve">sodalita, com adição de calcário no lugar de sodalita </w:t>
      </w:r>
      <w:r>
        <w:t xml:space="preserve">e sem sodalita. No caso do </w:t>
      </w:r>
      <w:r w:rsidRPr="00B83348">
        <w:rPr>
          <w:i/>
        </w:rPr>
        <w:t>input</w:t>
      </w:r>
      <w:r>
        <w:t xml:space="preserve"> de MgO e TFS existe diferença </w:t>
      </w:r>
      <w:r w:rsidR="002C351D">
        <w:t xml:space="preserve">nas corridas com tratamento placebo porém igualdade entre as corridas com e sem </w:t>
      </w:r>
      <w:r>
        <w:t xml:space="preserve">sodalita. </w:t>
      </w:r>
      <w:r w:rsidR="003D1362">
        <w:t xml:space="preserve"> A diferença no </w:t>
      </w:r>
      <w:r w:rsidR="003D1362" w:rsidRPr="003D1362">
        <w:rPr>
          <w:i/>
        </w:rPr>
        <w:t>input</w:t>
      </w:r>
      <w:r w:rsidR="003D1362">
        <w:t xml:space="preserve"> de MgO entre as corridas com sodalita e o tratamento deve-se à utilização de valores diferentes de MgO visado entre os convertedores. </w:t>
      </w:r>
    </w:p>
    <w:p w:rsidR="00A8666E" w:rsidRDefault="00A8666E" w:rsidP="00A8666E">
      <w:r>
        <w:t>A análise de variancia mostrou que não há evidência de diferença no PFS devido à adição de sodalita nas corridas de aços comuns.</w:t>
      </w:r>
    </w:p>
    <w:p w:rsidR="00AD4C88" w:rsidRDefault="00AD4C88" w:rsidP="00A8666E">
      <w:r>
        <w:t>Para os aços UBC foi necessário analisar separadamente por [P] visado. Foram comparados os resultados de P entre as corridas com P=10 e P=12. Em nenhum dos casos o P foi maior devido a falta de adição de sodalita.</w:t>
      </w:r>
    </w:p>
    <w:p w:rsidR="003D1362" w:rsidRPr="003D1362" w:rsidRDefault="003D1362" w:rsidP="00A8666E">
      <w:r>
        <w:t>Recomenda-se experimentar um corte linear de 50% na quantidade de sodalita e avaliar os resultados para uma eventual retirada do material.</w:t>
      </w:r>
    </w:p>
    <w:p w:rsidR="00A8666E" w:rsidRPr="00A8666E" w:rsidRDefault="00A8666E" w:rsidP="00A8666E"/>
    <w:sectPr w:rsidR="00A8666E" w:rsidRPr="00A8666E" w:rsidSect="00CA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0298B"/>
    <w:multiLevelType w:val="hybridMultilevel"/>
    <w:tmpl w:val="C7966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E048A"/>
    <w:multiLevelType w:val="hybridMultilevel"/>
    <w:tmpl w:val="876E0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577BD"/>
    <w:multiLevelType w:val="hybridMultilevel"/>
    <w:tmpl w:val="D1428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A7D92"/>
    <w:rsid w:val="00026293"/>
    <w:rsid w:val="0006239F"/>
    <w:rsid w:val="00077593"/>
    <w:rsid w:val="000E68F1"/>
    <w:rsid w:val="001642BE"/>
    <w:rsid w:val="002C23A4"/>
    <w:rsid w:val="002C351D"/>
    <w:rsid w:val="00306B69"/>
    <w:rsid w:val="00307C10"/>
    <w:rsid w:val="003608E4"/>
    <w:rsid w:val="00365213"/>
    <w:rsid w:val="0036673A"/>
    <w:rsid w:val="003B7CE7"/>
    <w:rsid w:val="003C3620"/>
    <w:rsid w:val="003D1362"/>
    <w:rsid w:val="004F137D"/>
    <w:rsid w:val="00584639"/>
    <w:rsid w:val="005A6944"/>
    <w:rsid w:val="005A7D92"/>
    <w:rsid w:val="006159F4"/>
    <w:rsid w:val="006C2E62"/>
    <w:rsid w:val="00712A22"/>
    <w:rsid w:val="007453BB"/>
    <w:rsid w:val="00762009"/>
    <w:rsid w:val="007D2570"/>
    <w:rsid w:val="008661D2"/>
    <w:rsid w:val="008C2AC2"/>
    <w:rsid w:val="00A02D81"/>
    <w:rsid w:val="00A363E7"/>
    <w:rsid w:val="00A8666E"/>
    <w:rsid w:val="00AC044D"/>
    <w:rsid w:val="00AC554A"/>
    <w:rsid w:val="00AD4C88"/>
    <w:rsid w:val="00B83348"/>
    <w:rsid w:val="00BA7D96"/>
    <w:rsid w:val="00BC2B55"/>
    <w:rsid w:val="00C913BC"/>
    <w:rsid w:val="00CA7BF9"/>
    <w:rsid w:val="00CF541B"/>
    <w:rsid w:val="00D038F6"/>
    <w:rsid w:val="00D35541"/>
    <w:rsid w:val="00D41E15"/>
    <w:rsid w:val="00D72BB9"/>
    <w:rsid w:val="00DC29D0"/>
    <w:rsid w:val="00DD3AAE"/>
    <w:rsid w:val="00DD63E4"/>
    <w:rsid w:val="00E550D1"/>
    <w:rsid w:val="00EB49CD"/>
    <w:rsid w:val="00EC2A80"/>
    <w:rsid w:val="00EC44DE"/>
    <w:rsid w:val="00F44D5E"/>
    <w:rsid w:val="00F5548D"/>
    <w:rsid w:val="00F62E97"/>
    <w:rsid w:val="00FC29DB"/>
    <w:rsid w:val="00FD74AD"/>
    <w:rsid w:val="00FF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69"/>
    <w:pPr>
      <w:jc w:val="both"/>
    </w:pPr>
    <w:rPr>
      <w:rFonts w:ascii="Times New Roman" w:hAnsi="Times New Roman"/>
    </w:rPr>
  </w:style>
  <w:style w:type="paragraph" w:styleId="Ttulo2">
    <w:name w:val="heading 2"/>
    <w:next w:val="Normal"/>
    <w:link w:val="Ttulo2Char"/>
    <w:uiPriority w:val="9"/>
    <w:unhideWhenUsed/>
    <w:qFormat/>
    <w:rsid w:val="00D3554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7593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5541"/>
    <w:rPr>
      <w:rFonts w:ascii="Arial" w:eastAsiaTheme="majorEastAsia" w:hAnsi="Arial" w:cstheme="majorBidi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B55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077593"/>
    <w:rPr>
      <w:rFonts w:ascii="Arial" w:eastAsiaTheme="majorEastAsia" w:hAnsi="Arial" w:cstheme="majorBidi"/>
      <w:b/>
      <w:bCs/>
    </w:rPr>
  </w:style>
  <w:style w:type="table" w:styleId="Tabelacomgrade">
    <w:name w:val="Table Grid"/>
    <w:basedOn w:val="Tabelanormal"/>
    <w:uiPriority w:val="59"/>
    <w:rsid w:val="00D72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2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5F5BF-8198-4A8F-9D32-AE848097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6</Pages>
  <Words>1425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Usiminas</dc:creator>
  <cp:lastModifiedBy>Usiminas</cp:lastModifiedBy>
  <cp:revision>17</cp:revision>
  <dcterms:created xsi:type="dcterms:W3CDTF">2014-05-09T18:08:00Z</dcterms:created>
  <dcterms:modified xsi:type="dcterms:W3CDTF">2014-05-15T20:32:00Z</dcterms:modified>
</cp:coreProperties>
</file>