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color w:val="5C6B68"/>
          <w:spacing w:val="20"/>
          <w:sz w:val="14"/>
          <w:szCs w:val="14"/>
        </w:rPr>
        <w:t xml:space="preserve">OPTIONS ALPHA AGENTS  ·  ALPACA AI TRADING AGENTS HACKATHON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413"/>
          <w:sz w:val="32"/>
          <w:szCs w:val="32"/>
        </w:rPr>
        <w:t xml:space="preserve">Eventus — an autonomous options agent</w:t>
      </w:r>
    </w:p>
    <w:p>
      <w:pPr>
        <w:pBdr>
          <w:bottom w:val="single" w:color="CBD5D2" w:sz="6" w:space="4"/>
        </w:pBdr>
        <w:spacing w:after="40"/>
      </w:pPr>
      <w:r>
        <w:rPr>
          <w:rFonts w:ascii="Calibri" w:cs="Calibri" w:eastAsia="Calibri" w:hAnsi="Calibri"/>
          <w:color w:val="141413"/>
          <w:sz w:val="17"/>
          <w:szCs w:val="17"/>
        </w:rPr>
        <w:t xml:space="preserve">A multi-book options agent trading a live Alpaca paper account with no human in the loop. Featherless AI is the reasoning layer; Alpaca's MCP server is the tool surface; a deterministic risk engine is the only component in the system that can approve a trade.</w:t>
      </w:r>
    </w:p>
    <w:p>
      <w:pPr>
        <w:spacing w:after="20"/>
      </w:pPr>
      <w:r>
        <w:rPr>
          <w:rFonts w:ascii="Consolas" w:cs="Consolas" w:eastAsia="Consolas" w:hAnsi="Consolas"/>
          <w:color w:val="5C6B68"/>
          <w:sz w:val="14"/>
          <w:szCs w:val="14"/>
        </w:rPr>
        <w:t xml:space="preserve">Judged paper account PA3TSH9YTFJL  ·  carry (resident) · intraday (transient) · earnings (own loop)  ·  Qwen3-32B via Featherless</w:t>
      </w:r>
    </w:p>
    <w:p>
      <w:pPr>
        <w:pBdr>
          <w:bottom w:val="single" w:color="16655A" w:sz="8" w:space="4"/>
        </w:pBdr>
        <w:spacing w:after="70" w:before="150"/>
      </w:pPr>
      <w:r>
        <w:rPr>
          <w:rFonts w:ascii="Calibri" w:cs="Calibri" w:eastAsia="Calibri" w:hAnsi="Calibri"/>
          <w:b/>
          <w:bCs/>
          <w:color w:val="16655A"/>
          <w:sz w:val="21"/>
          <w:szCs w:val="21"/>
        </w:rPr>
        <w:t xml:space="preserve">1  </w:t>
      </w:r>
      <w:r>
        <w:rPr>
          <w:rFonts w:ascii="Calibri" w:cs="Calibri" w:eastAsia="Calibri" w:hAnsi="Calibri"/>
          <w:b/>
          <w:bCs/>
          <w:caps w:val="false"/>
          <w:color w:val="141413"/>
          <w:sz w:val="21"/>
          <w:szCs w:val="21"/>
        </w:rPr>
        <w:t xml:space="preserve">The AI logic — the model reasons, it never authorises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Discovery is Alpaca-native, no scraper.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At 09:15 the agent blends Alpaca news, screener movers and most-actives — rank-normalised within each source, then combined — into an attention snapshot of breadth, news velocity and volume rank, filtered for tradability into the day's candidate pool.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The macro call returns a regime, not a trade.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One Featherless call per session yields regime, volatility expectation, flagged symbols and a guidance verdict, plus a size multiplier bounded at 1.0 — it can only ever </w:t>
      </w: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reduce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 exposure. A deterministic breadth rule takes over on any error.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The agent drives Alpaca itself.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A tool loop lets the model query account, positions, orders, clock, last trade, option quote and news through Alpaca's MCP server and reason over what comes back — real autonomy, not a scripted pipeline with a model bolted on.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A critic scores and explains; it cannot approve.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Every candidate is scored against a 0.55 threshold with a required thesis, and the reasoning is written to the journal. No model sits anywhere in the exit path — position management is mechanical, routed back to the strategy that opened each position.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The earnings book proposes, a committed file confirms.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The model ranks names on implied move versus median reaction and calls direction (Qwen3-32B, confidence ≥ 0.55, evidence cited; Qwen3-8B for triage), but expression follows the </w:t>
      </w: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sign of the implied-vs-realised divergence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, not the direction call: rich sells a condor, cheap buys a vertical, the middle band trades nothing.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Degradation is a design choice.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If the provider is unreachable the loop falls back to deterministic rules and keeps trading. Downtime costs P&amp;L; a missing paragraph of reasoning does not.</w:t>
      </w:r>
    </w:p>
    <w:p>
      <w:pPr>
        <w:pBdr>
          <w:bottom w:val="single" w:color="16655A" w:sz="8" w:space="4"/>
        </w:pBdr>
        <w:spacing w:after="70" w:before="150"/>
      </w:pPr>
      <w:r>
        <w:rPr>
          <w:rFonts w:ascii="Calibri" w:cs="Calibri" w:eastAsia="Calibri" w:hAnsi="Calibri"/>
          <w:b/>
          <w:bCs/>
          <w:color w:val="16655A"/>
          <w:sz w:val="21"/>
          <w:szCs w:val="21"/>
        </w:rPr>
        <w:t xml:space="preserve">2  </w:t>
      </w:r>
      <w:r>
        <w:rPr>
          <w:rFonts w:ascii="Calibri" w:cs="Calibri" w:eastAsia="Calibri" w:hAnsi="Calibri"/>
          <w:b/>
          <w:bCs/>
          <w:caps w:val="false"/>
          <w:color w:val="141413"/>
          <w:sz w:val="21"/>
          <w:szCs w:val="21"/>
        </w:rPr>
        <w:t xml:space="preserve">The risk gates — a refusal is an artefact, not a dead end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Strategy gates, per book, run in parallel.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Carry requires rich premium (</w:t>
      </w:r>
      <w:r>
        <w:rPr>
          <w:rFonts w:ascii="Consolas" w:cs="Consolas" w:eastAsia="Consolas" w:hAnsi="Consolas"/>
          <w:color w:val="16655A"/>
          <w:sz w:val="17"/>
          <w:szCs w:val="17"/>
        </w:rPr>
        <w:t xml:space="preserve">iv_rank ≥ 0.35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 AND </w:t>
      </w:r>
      <w:r>
        <w:rPr>
          <w:rFonts w:ascii="Consolas" w:cs="Consolas" w:eastAsia="Consolas" w:hAnsi="Consolas"/>
          <w:color w:val="16655A"/>
          <w:sz w:val="17"/>
          <w:szCs w:val="17"/>
        </w:rPr>
        <w:t xml:space="preserve">iv − rv ≥ 0.03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 — either alone false-positives), a directionless tape (</w:t>
      </w:r>
      <w:r>
        <w:rPr>
          <w:rFonts w:ascii="Consolas" w:cs="Consolas" w:eastAsia="Consolas" w:hAnsi="Consolas"/>
          <w:color w:val="16655A"/>
          <w:sz w:val="17"/>
          <w:szCs w:val="17"/>
        </w:rPr>
        <w:t xml:space="preserve">adx ≤ 25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), hard event exclusions, a macro check, and a cost gate capping the round trip at 20% of the credit. Intraday requires a VWAP cross inside one polling gap, a volume z-score in its time-of-day bucket, 3 of up to 7 confirmation votes, a one-sided RSI veto and a spread gate.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A temporal capital firewall is checked before anything else.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The resident carry book reserves its margin requirement first, up to 50% of equity; transient books lease only what Reg T leaves after that. Wrong book or wrong minute is a categorical refusal — no sizing is even performed.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One deterministic engine signs every ticket.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Plain Python, no discretion: session state and loss limits, defined-risk structure with a computable max loss and 1–4 legs, portfolio shape (position caps, duplicate-structure and re-entry cooldowns, per-book concentration), </w:t>
      </w: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sizing from max loss rather than from capital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 so every position risks the same fraction, portfolio Greek caps where a block of exact zeros counts as missing rather than measured, and a cash buffer.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Liquidation is confirmed, not requested.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At the 15:15 cutoff working orders are cancelled first, then every transient position is closed and the book is polled until positions </w:t>
      </w: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and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 resting orders are both zero. Failure halts trading. At 15:45 a carry verification re-reads fresh Reg T buying power — never a cached number — and a fail disables the transient books next session.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Every veto is written down.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Each rejection is journalled with the gate that fired, its reason and every metric it measured. That the intraday spread gate dominates is a finding about option microstructure, not a bug — and it is evidence a judge can read.</w:t>
      </w:r>
    </w:p>
    <w:p>
      <w:pPr>
        <w:pBdr>
          <w:bottom w:val="single" w:color="16655A" w:sz="8" w:space="4"/>
        </w:pBdr>
        <w:spacing w:after="70" w:before="150"/>
      </w:pPr>
      <w:r>
        <w:rPr>
          <w:rFonts w:ascii="Calibri" w:cs="Calibri" w:eastAsia="Calibri" w:hAnsi="Calibri"/>
          <w:b/>
          <w:bCs/>
          <w:color w:val="16655A"/>
          <w:sz w:val="21"/>
          <w:szCs w:val="21"/>
        </w:rPr>
        <w:t xml:space="preserve">3  </w:t>
      </w:r>
      <w:r>
        <w:rPr>
          <w:rFonts w:ascii="Calibri" w:cs="Calibri" w:eastAsia="Calibri" w:hAnsi="Calibri"/>
          <w:b/>
          <w:bCs/>
          <w:caps w:val="false"/>
          <w:color w:val="141413"/>
          <w:sz w:val="21"/>
          <w:szCs w:val="21"/>
        </w:rPr>
        <w:t xml:space="preserve">Alpaca infrastructure and the Featherless API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Alpaca MCP server as the tool surface.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The agent speaks MCP to </w:t>
      </w:r>
      <w:r>
        <w:rPr>
          <w:rFonts w:ascii="Consolas" w:cs="Consolas" w:eastAsia="Consolas" w:hAnsi="Consolas"/>
          <w:color w:val="16655A"/>
          <w:sz w:val="17"/>
          <w:szCs w:val="17"/>
        </w:rPr>
        <w:t xml:space="preserve">alpaca-mcp-server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 over stdio, with a synchronous facade over a background event loop so the rest of the codebase stays simple. The model's allowlist is seven read-only tools, kept small deliberately: schemas are re-sent every turn, and a wide surface costs latency for tools the agent never calls.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The read/write split </w:t>
      </w: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is</w:t>
      </w: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 the safety model.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Reads come from MCP. Writes are first-party and stamped — the server's own order-placing tool is </w:t>
      </w: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never exposed to the model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, because an agent that can place a raw order can bypass the close-of-day verification the firewall exists to guarantee.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Execution over the Alpaca CLI.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Every order is a shell command that can be replayed, carries a deterministic client order id so a retry after an ambiguous failure is a check rather than a second fire, and is refused outright without a risk stamp. Multi-leg spreads go out atomically; the judged profile posts at the far touch with chasing off.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Alpaca market data, collapsed into one immutable snapshot per cycle.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400 daily sessions for trend and realised vol, 1-minute bars for VWAP, option chains spanning the union of the books' expiry windows, and per-symbol news — fetched per symbol under a request-rate ceiling. Strategies read nothing else, so two books can never disagree about the tape.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Featherless is the live reasoning provider, not a decoration.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Every critic verdict, macro read and agent cycle in the judged account is produced there: </w:t>
      </w:r>
      <w:r>
        <w:rPr>
          <w:rFonts w:ascii="Consolas" w:cs="Consolas" w:eastAsia="Consolas" w:hAnsi="Consolas"/>
          <w:color w:val="16655A"/>
          <w:sz w:val="17"/>
          <w:szCs w:val="17"/>
        </w:rPr>
        <w:t xml:space="preserve">Qwen/Qwen3-32B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 at temperature 0.2 with a fixed seed, so the same evidence yields the same verdict twice. It is written straight against the REST surface with </w:t>
      </w:r>
      <w:r>
        <w:rPr>
          <w:rFonts w:ascii="Consolas" w:cs="Consolas" w:eastAsia="Consolas" w:hAnsi="Consolas"/>
          <w:color w:val="16655A"/>
          <w:sz w:val="17"/>
          <w:szCs w:val="17"/>
        </w:rPr>
        <w:t xml:space="preserve">httpx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 rather than an extra SDK — one fewer package to install on a competition host, and the wire format is small enough to own.</w:t>
      </w:r>
    </w:p>
    <w:p>
      <w:pPr>
        <w:pStyle w:val="ListParagraph"/>
        <w:numPr>
          <w:ilvl w:val="0"/>
          <w:numId w:val="2"/>
        </w:numPr>
        <w:spacing w:after="36" w:line="218"/>
      </w:pP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Built for serverless inference, not a lab. 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Cold starts and rate limits are retried with exponential backoff; a non-retryable 4xx fails immediately rather than spending the cycle's latency budget on the same answer. Native JSON mode falls back to prompted JSON once per process. Its OpenAI-dialect tool loop is what lets Featherless drive the Alpaca MCP tools directly — </w:t>
      </w:r>
      <w:r>
        <w:rPr>
          <w:rFonts w:ascii="Calibri" w:cs="Calibri" w:eastAsia="Calibri" w:hAnsi="Calibri"/>
          <w:b/>
          <w:bCs/>
          <w:color w:val="141413"/>
          <w:sz w:val="17"/>
          <w:szCs w:val="17"/>
        </w:rPr>
        <w:t xml:space="preserve">that is the bridge between the strategy layer and the broker</w:t>
      </w:r>
      <w:r>
        <w:rPr>
          <w:rFonts w:ascii="Calibri" w:cs="Calibri" w:eastAsia="Calibri" w:hAnsi="Calibri"/>
          <w:color w:val="141413"/>
          <w:sz w:val="17"/>
          <w:szCs w:val="17"/>
        </w:rPr>
        <w:t xml:space="preserve">. One vendor and one key serve both the live loop and the backtest critic.</w:t>
      </w:r>
    </w:p>
    <w:p>
      <w:pPr>
        <w:pBdr>
          <w:top w:val="single" w:color="CBD5D2" w:sz="6" w:space="6"/>
        </w:pBdr>
        <w:spacing w:before="110"/>
      </w:pPr>
      <w:r>
        <w:rPr>
          <w:rFonts w:ascii="Calibri" w:cs="Calibri" w:eastAsia="Calibri" w:hAnsi="Calibri"/>
          <w:i/>
          <w:iCs/>
          <w:color w:val="5C6B68"/>
          <w:sz w:val="15"/>
          <w:szCs w:val="15"/>
        </w:rPr>
        <w:t xml:space="preserve">The agent decides. The deterministic layer still gates. Nothing reaches Alpaca without a signed stamp, and every refusal is recorded as evidence.</w:t>
      </w:r>
    </w:p>
    <w:sectPr>
      <w:pgSz w:w="12240" w:h="15840" w:orient="portrait"/>
      <w:pgMar w:top="620" w:right="700" w:bottom="5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88" w:hanging="187"/>
      </w:pPr>
      <w:rPr>
        <w:color w:val="16655A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2026-09-03T11:16:03.773Z</dcterms:created>
  <dcterms:modified xsi:type="dcterms:W3CDTF">2026-09-03T11:16:03.773Z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