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DB2" w:rsidRPr="00A81E45" w:rsidRDefault="00A81E45">
      <w:pPr>
        <w:rPr>
          <w:b/>
        </w:rPr>
      </w:pPr>
      <w:r w:rsidRPr="00A81E45">
        <w:rPr>
          <w:b/>
        </w:rPr>
        <w:t>MSM Overview</w:t>
      </w:r>
    </w:p>
    <w:p w:rsidR="0054473D" w:rsidRDefault="0054473D">
      <w:r>
        <w:t>-Two new entity types</w:t>
      </w:r>
      <w:r w:rsidR="00DA49F4">
        <w:t xml:space="preserve"> have been added</w:t>
      </w:r>
      <w:r>
        <w:t>: MSMW (man who has sex with men and women) and MSM (man who has sex with (only) men). Both entity types are defined as having their demographic “sexual-orientation” set to “homosexual”. Each of these entities is given an entity type as follows: “male”=exclusively heterosexual male, “</w:t>
      </w:r>
      <w:proofErr w:type="spellStart"/>
      <w:r>
        <w:t>msmw</w:t>
      </w:r>
      <w:proofErr w:type="spellEnd"/>
      <w:r>
        <w:t>”=MSMW, “</w:t>
      </w:r>
      <w:proofErr w:type="spellStart"/>
      <w:r>
        <w:t>msm</w:t>
      </w:r>
      <w:proofErr w:type="spellEnd"/>
      <w:r>
        <w:t>”=MSM, “female”=heterosexual female. To reduce confusion between “male” the gender and “male” the entity type, these entity types will generally be displayed as “</w:t>
      </w:r>
      <w:proofErr w:type="spellStart"/>
      <w:r>
        <w:t>Male</w:t>
      </w:r>
      <w:proofErr w:type="gramStart"/>
      <w:r>
        <w:t>:Hetero</w:t>
      </w:r>
      <w:proofErr w:type="spellEnd"/>
      <w:proofErr w:type="gramEnd"/>
      <w:r>
        <w:t>”, “</w:t>
      </w:r>
      <w:proofErr w:type="spellStart"/>
      <w:r>
        <w:t>Male:MSMW</w:t>
      </w:r>
      <w:proofErr w:type="spellEnd"/>
      <w:r>
        <w:t>”, “</w:t>
      </w:r>
      <w:proofErr w:type="spellStart"/>
      <w:r>
        <w:t>Male:MSM</w:t>
      </w:r>
      <w:proofErr w:type="spellEnd"/>
      <w:r>
        <w:t>”, and “Female” respectively.</w:t>
      </w:r>
    </w:p>
    <w:p w:rsidR="0054473D" w:rsidRDefault="00DA49F4">
      <w:r>
        <w:t>-Added f</w:t>
      </w:r>
      <w:r w:rsidR="0054473D">
        <w:t>our new partnership types: “</w:t>
      </w:r>
      <w:proofErr w:type="spellStart"/>
      <w:r w:rsidR="0054473D">
        <w:t>SteadyMSM</w:t>
      </w:r>
      <w:proofErr w:type="spellEnd"/>
      <w:r w:rsidR="0054473D">
        <w:t>”, “</w:t>
      </w:r>
      <w:proofErr w:type="spellStart"/>
      <w:r w:rsidR="0054473D">
        <w:t>RegularMSM</w:t>
      </w:r>
      <w:proofErr w:type="spellEnd"/>
      <w:r w:rsidR="0054473D">
        <w:t>”, “</w:t>
      </w:r>
      <w:proofErr w:type="spellStart"/>
      <w:r w:rsidR="0054473D">
        <w:t>CasualMSM</w:t>
      </w:r>
      <w:proofErr w:type="spellEnd"/>
      <w:r w:rsidR="0054473D">
        <w:t xml:space="preserve">”, “CSWMSM”. These </w:t>
      </w:r>
      <w:r w:rsidR="007D569F">
        <w:t xml:space="preserve">new </w:t>
      </w:r>
      <w:r w:rsidR="0054473D">
        <w:t xml:space="preserve">partnerships can only be formed between two homosexual males (MSMs or MSMWs). MSMWs can form any of the </w:t>
      </w:r>
      <w:r w:rsidR="007D569F">
        <w:t xml:space="preserve">now </w:t>
      </w:r>
      <w:r w:rsidR="0054473D">
        <w:t>eight</w:t>
      </w:r>
      <w:r w:rsidR="007D569F">
        <w:t xml:space="preserve"> possible</w:t>
      </w:r>
      <w:r w:rsidR="0054473D">
        <w:t xml:space="preserve"> partnership types. MSMs can form only these four new partnership types. Heterosexual males</w:t>
      </w:r>
      <w:r w:rsidR="007D569F">
        <w:t xml:space="preserve"> continue to form “Steady”, “Regular”, “Casual”, and “CSW” partnerships with heterosexual females as before. These existing partnership types now refer solely to the heterosexual partnership</w:t>
      </w:r>
      <w:r>
        <w:t xml:space="preserve"> variant</w:t>
      </w:r>
      <w:r w:rsidR="007D569F">
        <w:t>.</w:t>
      </w:r>
    </w:p>
    <w:p w:rsidR="0054473D" w:rsidRDefault="0054473D">
      <w:r>
        <w:t xml:space="preserve">-Instead of </w:t>
      </w:r>
      <w:r w:rsidR="007D569F">
        <w:t>“</w:t>
      </w:r>
      <w:proofErr w:type="spellStart"/>
      <w:r>
        <w:t>proportionMale</w:t>
      </w:r>
      <w:proofErr w:type="spellEnd"/>
      <w:r w:rsidR="007D569F">
        <w:t>” in population parameters</w:t>
      </w:r>
      <w:r>
        <w:t>,</w:t>
      </w:r>
      <w:r w:rsidR="007D569F">
        <w:t xml:space="preserve"> the</w:t>
      </w:r>
      <w:r>
        <w:t xml:space="preserve"> makeup of </w:t>
      </w:r>
      <w:proofErr w:type="spellStart"/>
      <w:r>
        <w:t>newborn</w:t>
      </w:r>
      <w:proofErr w:type="spellEnd"/>
      <w:r>
        <w:t xml:space="preserve"> entities each month is defined as proportion of total </w:t>
      </w:r>
      <w:proofErr w:type="spellStart"/>
      <w:r>
        <w:t>newborns</w:t>
      </w:r>
      <w:proofErr w:type="spellEnd"/>
      <w:r>
        <w:t xml:space="preserve"> by entity type. For example, a birth rate of 0.1 with a population size of 1000 yields 100 new entities in that month. If the birth proportions loo</w:t>
      </w:r>
      <w:r w:rsidR="007D569F">
        <w:t>ks like</w:t>
      </w:r>
      <w:r>
        <w:t xml:space="preserve"> </w:t>
      </w:r>
      <w:r w:rsidR="007D569F">
        <w:t>“</w:t>
      </w:r>
      <w:r>
        <w:t xml:space="preserve">male=0.3, </w:t>
      </w:r>
      <w:proofErr w:type="spellStart"/>
      <w:r>
        <w:t>msmw</w:t>
      </w:r>
      <w:proofErr w:type="spellEnd"/>
      <w:r>
        <w:t xml:space="preserve">=0.1, </w:t>
      </w:r>
      <w:proofErr w:type="spellStart"/>
      <w:r>
        <w:t>msm</w:t>
      </w:r>
      <w:proofErr w:type="spellEnd"/>
      <w:r>
        <w:t>=0.2, female=0.4</w:t>
      </w:r>
      <w:r w:rsidR="007D569F">
        <w:t>”</w:t>
      </w:r>
      <w:r>
        <w:t>, there will be 30 new males, 10 new MSMWs, 20 new MSMs, and 40 new females. This same system is used in defining the initial state and population sizes of each age bucket. These two changes allow MSMs to b</w:t>
      </w:r>
      <w:r w:rsidR="00DA49F4">
        <w:t>e</w:t>
      </w:r>
      <w:r>
        <w:t xml:space="preserve"> present in the population.</w:t>
      </w:r>
    </w:p>
    <w:p w:rsidR="007D569F" w:rsidRDefault="007D569F">
      <w:r>
        <w:t>-Moved transmission coefficients out of individual entity types and into separate section. As MSMWs and heterosexual males can both form partnerships with females with presumably the same transmission coefficients, it makes sense to separate these so that all entity types can use them based simply on the gender of the participants (and eventually on MSM positioning, not yet implemented).</w:t>
      </w:r>
    </w:p>
    <w:p w:rsidR="007D569F" w:rsidRDefault="007D569F">
      <w:r>
        <w:t>-Generalized initial prevalent cases which were originally bound into rigid age- and risk-groups. Now initial prevalent cases can be as specific or vague as desired. For each, we can define an optional demographic profile with wildcards, an optional open or closed age range, and an optional risk-group. A demographic profile looks like &lt;sexual-activity-status</w:t>
      </w:r>
      <w:proofErr w:type="gramStart"/>
      <w:r>
        <w:t>&gt;:</w:t>
      </w:r>
      <w:proofErr w:type="gramEnd"/>
      <w:r>
        <w:t>&lt;gender&gt;:&lt;sexual-orientation&gt;:&lt;relationship-status&gt;:&lt;employment&gt;. Each of these can be a specific value or a wildcard in the form of an asterisk (i.e. SA</w:t>
      </w:r>
      <w:proofErr w:type="gramStart"/>
      <w:r>
        <w:t>:FEMALE:HETERO</w:t>
      </w:r>
      <w:proofErr w:type="gramEnd"/>
      <w:r>
        <w:t>:*:*). For each of these “population queries” we specify a target number of infections to be assigned randomly among all those matching the specified criteria.</w:t>
      </w:r>
    </w:p>
    <w:p w:rsidR="007D569F" w:rsidRDefault="007D569F">
      <w:r>
        <w:t xml:space="preserve">-Removed possibility to have CSW proportion differ in initial population and </w:t>
      </w:r>
      <w:proofErr w:type="spellStart"/>
      <w:r>
        <w:t>newborn</w:t>
      </w:r>
      <w:proofErr w:type="spellEnd"/>
      <w:r>
        <w:t xml:space="preserve"> population as these parameters were never different. These have been unified into one parameter called “</w:t>
      </w:r>
      <w:proofErr w:type="spellStart"/>
      <w:r>
        <w:t>chanceBecomeSexWorker</w:t>
      </w:r>
      <w:proofErr w:type="spellEnd"/>
      <w:r>
        <w:t>” defined for each entity.</w:t>
      </w:r>
    </w:p>
    <w:p w:rsidR="0054473D" w:rsidRDefault="00DA49F4">
      <w:r>
        <w:t>-The number of sequenced CEPAC IN files or ART rollout files is now unlimited (originally restricted to 5 and 12 respectively).</w:t>
      </w:r>
    </w:p>
    <w:p w:rsidR="0054473D" w:rsidRDefault="00DA49F4">
      <w:r>
        <w:t>-Most outcomes stratified on gender are now stratified on entity type so that MSMs and MSMWs can be differentiated from heterosexual males.</w:t>
      </w:r>
    </w:p>
    <w:p w:rsidR="00A72724" w:rsidRDefault="00A72724">
      <w:r>
        <w:lastRenderedPageBreak/>
        <w:t>-New columns at the end of Partnership trace summarize how often MSMWs, MSMs, and women were selected for a partnership.</w:t>
      </w:r>
      <w:bookmarkStart w:id="0" w:name="_GoBack"/>
      <w:bookmarkEnd w:id="0"/>
    </w:p>
    <w:sectPr w:rsidR="00A727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73D"/>
    <w:rsid w:val="0054473D"/>
    <w:rsid w:val="007D569F"/>
    <w:rsid w:val="007F02A2"/>
    <w:rsid w:val="00A72724"/>
    <w:rsid w:val="00A81E45"/>
    <w:rsid w:val="00AE4877"/>
    <w:rsid w:val="00DA49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HSPH</Company>
  <LinksUpToDate>false</LinksUpToDate>
  <CharactersWithSpaces>3358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dcterms:created xsi:type="dcterms:W3CDTF">2014-11-18T00:46:00Z</dcterms:created>
  <dcterms:modified xsi:type="dcterms:W3CDTF">2014-11-18T15:45:00Z</dcterms:modified>
</cp:coreProperties>
</file>