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CD9E" w14:textId="607DF234" w:rsidR="00E33E98" w:rsidRPr="00AD4B41" w:rsidRDefault="00E33E98" w:rsidP="00E33E98">
      <w:pPr>
        <w:pStyle w:val="NormalWeb"/>
        <w:shd w:val="clear" w:color="auto" w:fill="FFFFFF"/>
        <w:spacing w:before="0" w:beforeAutospacing="0" w:after="171" w:afterAutospacing="0"/>
        <w:rPr>
          <w:rFonts w:ascii="Lato" w:hAnsi="Lato"/>
          <w:color w:val="333333"/>
          <w:sz w:val="21"/>
          <w:szCs w:val="21"/>
        </w:rPr>
      </w:pPr>
      <w:r w:rsidRPr="00AD4B41">
        <w:rPr>
          <w:rStyle w:val="Strong"/>
          <w:rFonts w:ascii="Lato" w:eastAsiaTheme="majorEastAsia" w:hAnsi="Lato"/>
          <w:color w:val="333333"/>
          <w:sz w:val="21"/>
          <w:szCs w:val="21"/>
        </w:rPr>
        <w:t xml:space="preserve">Part </w:t>
      </w:r>
      <w:r w:rsidR="001D45B4" w:rsidRPr="00AD4B41">
        <w:rPr>
          <w:rStyle w:val="Strong"/>
          <w:rFonts w:ascii="Lato" w:eastAsiaTheme="majorEastAsia" w:hAnsi="Lato"/>
          <w:color w:val="333333"/>
          <w:sz w:val="21"/>
          <w:szCs w:val="21"/>
        </w:rPr>
        <w:t>1</w:t>
      </w:r>
      <w:r w:rsidRPr="00AD4B41">
        <w:rPr>
          <w:rStyle w:val="Strong"/>
          <w:rFonts w:ascii="Lato" w:eastAsiaTheme="majorEastAsia" w:hAnsi="Lato"/>
          <w:color w:val="333333"/>
          <w:sz w:val="21"/>
          <w:szCs w:val="21"/>
        </w:rPr>
        <w:t>: Interactive Data Dashboard</w:t>
      </w:r>
    </w:p>
    <w:p w14:paraId="1352A956" w14:textId="6AB96524" w:rsidR="00C60457" w:rsidRPr="00C60457" w:rsidRDefault="00C60457" w:rsidP="00C60457">
      <w:pPr>
        <w:pStyle w:val="ListParagraph"/>
        <w:numPr>
          <w:ilvl w:val="0"/>
          <w:numId w:val="41"/>
        </w:numPr>
        <w:spacing w:before="100" w:beforeAutospacing="1" w:after="100" w:afterAutospacing="1" w:line="240" w:lineRule="auto"/>
        <w:outlineLvl w:val="2"/>
        <w:rPr>
          <w:rFonts w:ascii="Lato" w:eastAsia="Times New Roman" w:hAnsi="Lato" w:cs="Times New Roman"/>
          <w:b/>
          <w:bCs/>
          <w:kern w:val="0"/>
          <w:sz w:val="21"/>
          <w:szCs w:val="21"/>
          <w14:ligatures w14:val="none"/>
        </w:rPr>
      </w:pPr>
      <w:r w:rsidRPr="00C60457">
        <w:rPr>
          <w:rFonts w:ascii="Lato" w:eastAsia="Times New Roman" w:hAnsi="Lato" w:cs="Times New Roman"/>
          <w:b/>
          <w:bCs/>
          <w:kern w:val="0"/>
          <w:sz w:val="21"/>
          <w:szCs w:val="21"/>
          <w14:ligatures w14:val="none"/>
        </w:rPr>
        <w:t>Step-by-Step Instructions for Dashboard Testing</w:t>
      </w:r>
    </w:p>
    <w:p w14:paraId="653702D6" w14:textId="32888EE5" w:rsidR="00C60457" w:rsidRPr="00C60457" w:rsidRDefault="00C60457" w:rsidP="00C60457">
      <w:pPr>
        <w:pStyle w:val="ListParagraph"/>
        <w:numPr>
          <w:ilvl w:val="1"/>
          <w:numId w:val="41"/>
        </w:numPr>
        <w:spacing w:before="100" w:beforeAutospacing="1" w:after="100" w:afterAutospacing="1" w:line="240" w:lineRule="auto"/>
        <w:outlineLvl w:val="3"/>
        <w:rPr>
          <w:rFonts w:ascii="Lato" w:eastAsia="Times New Roman" w:hAnsi="Lato" w:cs="Times New Roman"/>
          <w:b/>
          <w:bCs/>
          <w:kern w:val="0"/>
          <w:sz w:val="21"/>
          <w:szCs w:val="21"/>
          <w14:ligatures w14:val="none"/>
        </w:rPr>
      </w:pPr>
      <w:r w:rsidRPr="00C60457">
        <w:rPr>
          <w:rFonts w:ascii="Lato" w:eastAsia="Times New Roman" w:hAnsi="Lato" w:cs="Times New Roman"/>
          <w:b/>
          <w:bCs/>
          <w:kern w:val="0"/>
          <w:sz w:val="21"/>
          <w:szCs w:val="21"/>
          <w14:ligatures w14:val="none"/>
        </w:rPr>
        <w:t>Open the Tableau Dashboard</w:t>
      </w:r>
    </w:p>
    <w:p w14:paraId="0A74A73C" w14:textId="77777777" w:rsidR="00C60457" w:rsidRPr="00C60457" w:rsidRDefault="00C60457" w:rsidP="00C60457">
      <w:pPr>
        <w:numPr>
          <w:ilvl w:val="2"/>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b/>
          <w:bCs/>
          <w:kern w:val="0"/>
          <w:sz w:val="21"/>
          <w:szCs w:val="21"/>
          <w14:ligatures w14:val="none"/>
        </w:rPr>
        <w:t>Double-click</w:t>
      </w:r>
      <w:r w:rsidRPr="00C60457">
        <w:rPr>
          <w:rFonts w:ascii="Lato" w:eastAsia="Times New Roman" w:hAnsi="Lato" w:cs="Times New Roman"/>
          <w:kern w:val="0"/>
          <w:sz w:val="21"/>
          <w:szCs w:val="21"/>
          <w14:ligatures w14:val="none"/>
        </w:rPr>
        <w:t xml:space="preserve"> the file named </w:t>
      </w:r>
      <w:r w:rsidRPr="00C60457">
        <w:rPr>
          <w:rFonts w:ascii="Lato" w:eastAsia="Times New Roman" w:hAnsi="Lato" w:cs="Courier New"/>
          <w:b/>
          <w:bCs/>
          <w:kern w:val="0"/>
          <w:sz w:val="21"/>
          <w:szCs w:val="21"/>
          <w14:ligatures w14:val="none"/>
        </w:rPr>
        <w:t xml:space="preserve">Telecom Retention </w:t>
      </w:r>
      <w:proofErr w:type="spellStart"/>
      <w:r w:rsidRPr="00C60457">
        <w:rPr>
          <w:rFonts w:ascii="Lato" w:eastAsia="Times New Roman" w:hAnsi="Lato" w:cs="Courier New"/>
          <w:b/>
          <w:bCs/>
          <w:kern w:val="0"/>
          <w:sz w:val="21"/>
          <w:szCs w:val="21"/>
          <w14:ligatures w14:val="none"/>
        </w:rPr>
        <w:t>Report.twbx</w:t>
      </w:r>
      <w:proofErr w:type="spellEnd"/>
      <w:r w:rsidRPr="00C60457">
        <w:rPr>
          <w:rFonts w:ascii="Lato" w:eastAsia="Times New Roman" w:hAnsi="Lato" w:cs="Times New Roman"/>
          <w:kern w:val="0"/>
          <w:sz w:val="21"/>
          <w:szCs w:val="21"/>
          <w14:ligatures w14:val="none"/>
        </w:rPr>
        <w:t>.</w:t>
      </w:r>
    </w:p>
    <w:p w14:paraId="384053F5" w14:textId="77777777" w:rsidR="00C60457" w:rsidRPr="00C60457" w:rsidRDefault="00C60457" w:rsidP="00C60457">
      <w:pPr>
        <w:numPr>
          <w:ilvl w:val="2"/>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Tableau will launch and load the workbook.</w:t>
      </w:r>
    </w:p>
    <w:p w14:paraId="3A1C9FE2" w14:textId="7CCF62DE" w:rsidR="00C60457" w:rsidRPr="00C60457" w:rsidRDefault="00C60457" w:rsidP="00C60457">
      <w:pPr>
        <w:pStyle w:val="ListParagraph"/>
        <w:numPr>
          <w:ilvl w:val="1"/>
          <w:numId w:val="41"/>
        </w:numPr>
        <w:spacing w:before="100" w:beforeAutospacing="1" w:after="100" w:afterAutospacing="1" w:line="240" w:lineRule="auto"/>
        <w:outlineLvl w:val="3"/>
        <w:rPr>
          <w:rFonts w:ascii="Lato" w:eastAsia="Times New Roman" w:hAnsi="Lato" w:cs="Times New Roman"/>
          <w:b/>
          <w:bCs/>
          <w:kern w:val="0"/>
          <w:sz w:val="21"/>
          <w:szCs w:val="21"/>
          <w14:ligatures w14:val="none"/>
        </w:rPr>
      </w:pPr>
      <w:r w:rsidRPr="00C60457">
        <w:rPr>
          <w:rFonts w:ascii="Lato" w:eastAsia="Times New Roman" w:hAnsi="Lato" w:cs="Times New Roman"/>
          <w:b/>
          <w:bCs/>
          <w:kern w:val="0"/>
          <w:sz w:val="21"/>
          <w:szCs w:val="21"/>
          <w14:ligatures w14:val="none"/>
        </w:rPr>
        <w:t>Navigate to the Dashboard Tab</w:t>
      </w:r>
    </w:p>
    <w:p w14:paraId="4EE759ED" w14:textId="47484219" w:rsidR="00C60457" w:rsidRPr="00C60457" w:rsidRDefault="00C60457" w:rsidP="00C60457">
      <w:pPr>
        <w:pStyle w:val="ListParagraph"/>
        <w:numPr>
          <w:ilvl w:val="2"/>
          <w:numId w:val="41"/>
        </w:numPr>
        <w:spacing w:before="100" w:beforeAutospacing="1" w:after="100" w:afterAutospacing="1" w:line="240" w:lineRule="auto"/>
        <w:outlineLvl w:val="3"/>
        <w:rPr>
          <w:rFonts w:ascii="Lato" w:eastAsia="Times New Roman" w:hAnsi="Lato" w:cs="Times New Roman"/>
          <w:b/>
          <w:bCs/>
          <w:kern w:val="0"/>
          <w:sz w:val="21"/>
          <w:szCs w:val="21"/>
          <w14:ligatures w14:val="none"/>
        </w:rPr>
      </w:pPr>
      <w:r w:rsidRPr="00C60457">
        <w:rPr>
          <w:rFonts w:ascii="Lato" w:eastAsia="Times New Roman" w:hAnsi="Lato" w:cs="Times New Roman"/>
          <w:kern w:val="0"/>
          <w:sz w:val="21"/>
          <w:szCs w:val="21"/>
          <w14:ligatures w14:val="none"/>
        </w:rPr>
        <w:t xml:space="preserve">Once the workbook is open, click on the </w:t>
      </w:r>
      <w:r w:rsidRPr="00C60457">
        <w:rPr>
          <w:rFonts w:ascii="Lato" w:eastAsia="Times New Roman" w:hAnsi="Lato" w:cs="Courier New"/>
          <w:b/>
          <w:bCs/>
          <w:kern w:val="0"/>
          <w:sz w:val="21"/>
          <w:szCs w:val="21"/>
          <w14:ligatures w14:val="none"/>
        </w:rPr>
        <w:t>Telecom Retention Report</w:t>
      </w:r>
      <w:r w:rsidRPr="00C60457">
        <w:rPr>
          <w:rFonts w:ascii="Lato" w:eastAsia="Times New Roman" w:hAnsi="Lato" w:cs="Times New Roman"/>
          <w:kern w:val="0"/>
          <w:sz w:val="21"/>
          <w:szCs w:val="21"/>
          <w14:ligatures w14:val="none"/>
        </w:rPr>
        <w:t xml:space="preserve"> tab located at the bottom or in the navigation pane (depending on your Tableau version).</w:t>
      </w:r>
    </w:p>
    <w:p w14:paraId="3C2F67F5" w14:textId="77777777" w:rsidR="00C60457" w:rsidRPr="00C60457" w:rsidRDefault="00C60457" w:rsidP="00C60457">
      <w:pPr>
        <w:pStyle w:val="ListParagraph"/>
        <w:numPr>
          <w:ilvl w:val="1"/>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hAnsi="Lato"/>
          <w:sz w:val="21"/>
          <w:szCs w:val="21"/>
        </w:rPr>
        <w:t>Step-by-Step Data View Breakdown</w:t>
      </w:r>
    </w:p>
    <w:p w14:paraId="0BD7F306" w14:textId="63053590" w:rsidR="001D45B4" w:rsidRPr="00C60457" w:rsidRDefault="001D45B4" w:rsidP="00C60457">
      <w:pPr>
        <w:pStyle w:val="ListParagraph"/>
        <w:numPr>
          <w:ilvl w:val="2"/>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b/>
          <w:bCs/>
          <w:color w:val="000000"/>
          <w:kern w:val="0"/>
          <w:sz w:val="21"/>
          <w:szCs w:val="21"/>
          <w14:ligatures w14:val="none"/>
        </w:rPr>
        <w:t>Telecommunication Retention Performance Report Walkthrough</w:t>
      </w:r>
      <w:r w:rsidR="00C60457" w:rsidRPr="00C60457">
        <w:rPr>
          <w:rFonts w:ascii="Lato" w:eastAsia="Times New Roman" w:hAnsi="Lato" w:cs="Times New Roman"/>
          <w:b/>
          <w:bCs/>
          <w:color w:val="000000"/>
          <w:kern w:val="0"/>
          <w:sz w:val="21"/>
          <w:szCs w:val="21"/>
          <w14:ligatures w14:val="none"/>
        </w:rPr>
        <w:t xml:space="preserve">: </w:t>
      </w:r>
      <w:r w:rsidRPr="00C60457">
        <w:rPr>
          <w:rFonts w:ascii="Lato" w:eastAsia="Times New Roman" w:hAnsi="Lato" w:cs="Times New Roman"/>
          <w:color w:val="000000"/>
          <w:kern w:val="0"/>
          <w:sz w:val="21"/>
          <w:szCs w:val="21"/>
          <w14:ligatures w14:val="none"/>
        </w:rPr>
        <w:t>This report highlights six key insights about customer retention and churn, with four of these insights also available as interactive filters to help you drill down into the data.</w:t>
      </w:r>
    </w:p>
    <w:p w14:paraId="7EFC7603" w14:textId="645A8325" w:rsidR="00C60457" w:rsidRPr="00C60457" w:rsidRDefault="00C60457" w:rsidP="00C60457">
      <w:pPr>
        <w:pStyle w:val="ListParagraph"/>
        <w:numPr>
          <w:ilvl w:val="2"/>
          <w:numId w:val="41"/>
        </w:numPr>
        <w:spacing w:before="100" w:beforeAutospacing="1" w:after="100" w:afterAutospacing="1" w:line="240" w:lineRule="auto"/>
        <w:outlineLvl w:val="3"/>
        <w:rPr>
          <w:rFonts w:ascii="Lato" w:eastAsia="Times New Roman" w:hAnsi="Lato" w:cs="Times New Roman"/>
          <w:b/>
          <w:bCs/>
          <w:kern w:val="0"/>
          <w:sz w:val="21"/>
          <w:szCs w:val="21"/>
          <w14:ligatures w14:val="none"/>
        </w:rPr>
      </w:pPr>
      <w:r w:rsidRPr="00C60457">
        <w:rPr>
          <w:rFonts w:ascii="Lato" w:eastAsia="Times New Roman" w:hAnsi="Lato" w:cs="Times New Roman"/>
          <w:b/>
          <w:bCs/>
          <w:kern w:val="0"/>
          <w:sz w:val="21"/>
          <w:szCs w:val="21"/>
          <w14:ligatures w14:val="none"/>
        </w:rPr>
        <w:t>Filterable Insights</w:t>
      </w:r>
      <w:r w:rsidRPr="00C60457">
        <w:rPr>
          <w:rFonts w:ascii="Lato" w:eastAsia="Times New Roman" w:hAnsi="Lato" w:cs="Times New Roman"/>
          <w:b/>
          <w:bCs/>
          <w:kern w:val="0"/>
          <w:sz w:val="21"/>
          <w:szCs w:val="21"/>
          <w14:ligatures w14:val="none"/>
        </w:rPr>
        <w:t xml:space="preserve">: </w:t>
      </w:r>
      <w:r w:rsidRPr="00C60457">
        <w:rPr>
          <w:rFonts w:ascii="Lato" w:eastAsia="Times New Roman" w:hAnsi="Lato" w:cs="Times New Roman"/>
          <w:kern w:val="0"/>
          <w:sz w:val="21"/>
          <w:szCs w:val="21"/>
          <w14:ligatures w14:val="none"/>
        </w:rPr>
        <w:t>These sections allow you to apply filters to view data dynamically.</w:t>
      </w:r>
    </w:p>
    <w:p w14:paraId="335E8A86" w14:textId="1BBAF0A1" w:rsidR="00C60457" w:rsidRPr="00C60457" w:rsidRDefault="00C60457" w:rsidP="00C60457">
      <w:pPr>
        <w:pStyle w:val="ListParagraph"/>
        <w:numPr>
          <w:ilvl w:val="3"/>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b/>
          <w:bCs/>
          <w:color w:val="000000"/>
          <w:kern w:val="0"/>
          <w:sz w:val="21"/>
          <w:szCs w:val="21"/>
          <w14:ligatures w14:val="none"/>
        </w:rPr>
        <w:t>Churn</w:t>
      </w:r>
      <w:r w:rsidRPr="00C60457">
        <w:rPr>
          <w:rFonts w:ascii="Lato" w:eastAsia="Times New Roman" w:hAnsi="Lato" w:cs="Times New Roman"/>
          <w:b/>
          <w:bCs/>
          <w:kern w:val="0"/>
          <w:sz w:val="21"/>
          <w:szCs w:val="21"/>
          <w14:ligatures w14:val="none"/>
        </w:rPr>
        <w:t xml:space="preserve"> by Demographics and Financial Factors</w:t>
      </w:r>
      <w:r w:rsidRPr="00C60457">
        <w:rPr>
          <w:rFonts w:ascii="Lato" w:eastAsia="Times New Roman" w:hAnsi="Lato" w:cs="Times New Roman"/>
          <w:b/>
          <w:bCs/>
          <w:kern w:val="0"/>
          <w:sz w:val="21"/>
          <w:szCs w:val="21"/>
          <w14:ligatures w14:val="none"/>
        </w:rPr>
        <w:t xml:space="preserve">: </w:t>
      </w:r>
      <w:r w:rsidRPr="00C60457">
        <w:rPr>
          <w:rFonts w:ascii="Lato" w:eastAsia="Times New Roman" w:hAnsi="Lato" w:cs="Times New Roman"/>
          <w:color w:val="000000"/>
          <w:kern w:val="0"/>
          <w:sz w:val="21"/>
          <w:szCs w:val="21"/>
          <w14:ligatures w14:val="none"/>
        </w:rPr>
        <w:t>This section shows a comparison between customers who stayed and those who canceled their service in the past month. It includes information like average income, monthly service charges, and customer age to help identify if these factors influence cancellations.</w:t>
      </w:r>
    </w:p>
    <w:p w14:paraId="63626E25" w14:textId="77777777" w:rsidR="00C60457" w:rsidRPr="00C60457" w:rsidRDefault="00C60457" w:rsidP="00C60457">
      <w:pPr>
        <w:pStyle w:val="ListParagraph"/>
        <w:numPr>
          <w:ilvl w:val="4"/>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View the comparison between retained and canceled customers.</w:t>
      </w:r>
    </w:p>
    <w:p w14:paraId="1A66434D" w14:textId="6E1CD69E" w:rsidR="00C60457" w:rsidRPr="00C60457" w:rsidRDefault="00C60457" w:rsidP="00C60457">
      <w:pPr>
        <w:pStyle w:val="ListParagraph"/>
        <w:numPr>
          <w:ilvl w:val="4"/>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 xml:space="preserve">Analyze factors like </w:t>
      </w:r>
      <w:r w:rsidRPr="00C60457">
        <w:rPr>
          <w:rFonts w:ascii="Lato" w:eastAsia="Times New Roman" w:hAnsi="Lato" w:cs="Times New Roman"/>
          <w:b/>
          <w:bCs/>
          <w:kern w:val="0"/>
          <w:sz w:val="21"/>
          <w:szCs w:val="21"/>
          <w14:ligatures w14:val="none"/>
        </w:rPr>
        <w:t>Average Income</w:t>
      </w:r>
      <w:r w:rsidRPr="00C60457">
        <w:rPr>
          <w:rFonts w:ascii="Lato" w:eastAsia="Times New Roman" w:hAnsi="Lato" w:cs="Times New Roman"/>
          <w:kern w:val="0"/>
          <w:sz w:val="21"/>
          <w:szCs w:val="21"/>
          <w14:ligatures w14:val="none"/>
        </w:rPr>
        <w:t xml:space="preserve">, </w:t>
      </w:r>
      <w:r w:rsidRPr="00C60457">
        <w:rPr>
          <w:rFonts w:ascii="Lato" w:eastAsia="Times New Roman" w:hAnsi="Lato" w:cs="Times New Roman"/>
          <w:b/>
          <w:bCs/>
          <w:kern w:val="0"/>
          <w:sz w:val="21"/>
          <w:szCs w:val="21"/>
          <w14:ligatures w14:val="none"/>
        </w:rPr>
        <w:t>Monthly Service Charges</w:t>
      </w:r>
      <w:r w:rsidRPr="00C60457">
        <w:rPr>
          <w:rFonts w:ascii="Lato" w:eastAsia="Times New Roman" w:hAnsi="Lato" w:cs="Times New Roman"/>
          <w:kern w:val="0"/>
          <w:sz w:val="21"/>
          <w:szCs w:val="21"/>
          <w14:ligatures w14:val="none"/>
        </w:rPr>
        <w:t xml:space="preserve">, and </w:t>
      </w:r>
      <w:r w:rsidRPr="00C60457">
        <w:rPr>
          <w:rFonts w:ascii="Lato" w:eastAsia="Times New Roman" w:hAnsi="Lato" w:cs="Times New Roman"/>
          <w:b/>
          <w:bCs/>
          <w:kern w:val="0"/>
          <w:sz w:val="21"/>
          <w:szCs w:val="21"/>
          <w14:ligatures w14:val="none"/>
        </w:rPr>
        <w:t>Age</w:t>
      </w:r>
      <w:r w:rsidRPr="00C60457">
        <w:rPr>
          <w:rFonts w:ascii="Lato" w:eastAsia="Times New Roman" w:hAnsi="Lato" w:cs="Times New Roman"/>
          <w:kern w:val="0"/>
          <w:sz w:val="21"/>
          <w:szCs w:val="21"/>
          <w14:ligatures w14:val="none"/>
        </w:rPr>
        <w:t xml:space="preserve"> to identify trends linked to churn.</w:t>
      </w:r>
    </w:p>
    <w:p w14:paraId="6030B21E" w14:textId="6E849D40" w:rsidR="00C60457" w:rsidRPr="00C60457" w:rsidRDefault="00C60457" w:rsidP="00C60457">
      <w:pPr>
        <w:pStyle w:val="ListParagraph"/>
        <w:numPr>
          <w:ilvl w:val="3"/>
          <w:numId w:val="41"/>
        </w:numPr>
        <w:spacing w:before="100" w:beforeAutospacing="1" w:after="100" w:afterAutospacing="1" w:line="240" w:lineRule="auto"/>
        <w:rPr>
          <w:rFonts w:ascii="Lato" w:eastAsia="Times New Roman" w:hAnsi="Lato" w:cs="Times New Roman"/>
          <w:b/>
          <w:bCs/>
          <w:color w:val="000000"/>
          <w:kern w:val="0"/>
          <w:sz w:val="21"/>
          <w:szCs w:val="21"/>
          <w14:ligatures w14:val="none"/>
        </w:rPr>
      </w:pPr>
      <w:r w:rsidRPr="00C60457">
        <w:rPr>
          <w:rFonts w:ascii="Lato" w:eastAsia="Times New Roman" w:hAnsi="Lato" w:cs="Times New Roman"/>
          <w:b/>
          <w:bCs/>
          <w:color w:val="000000"/>
          <w:kern w:val="0"/>
          <w:sz w:val="21"/>
          <w:szCs w:val="21"/>
          <w14:ligatures w14:val="none"/>
        </w:rPr>
        <w:t>Customer Churn by State</w:t>
      </w:r>
      <w:r w:rsidRPr="00C60457">
        <w:rPr>
          <w:rFonts w:ascii="Lato" w:eastAsia="Times New Roman" w:hAnsi="Lato" w:cs="Times New Roman"/>
          <w:b/>
          <w:bCs/>
          <w:color w:val="000000"/>
          <w:kern w:val="0"/>
          <w:sz w:val="21"/>
          <w:szCs w:val="21"/>
          <w14:ligatures w14:val="none"/>
        </w:rPr>
        <w:t xml:space="preserve">: </w:t>
      </w:r>
      <w:r w:rsidRPr="00C60457">
        <w:rPr>
          <w:rFonts w:ascii="Lato" w:eastAsia="Times New Roman" w:hAnsi="Lato" w:cs="Times New Roman"/>
          <w:color w:val="000000"/>
          <w:kern w:val="0"/>
          <w:sz w:val="21"/>
          <w:szCs w:val="21"/>
          <w14:ligatures w14:val="none"/>
        </w:rPr>
        <w:t>Here, you can see which states have the highest number of customer cancellations, giving a geographic view of churn across different regions.</w:t>
      </w:r>
    </w:p>
    <w:p w14:paraId="472E1E3C" w14:textId="77777777" w:rsidR="00C60457" w:rsidRPr="00C60457" w:rsidRDefault="00C60457" w:rsidP="00C60457">
      <w:pPr>
        <w:pStyle w:val="ListParagraph"/>
        <w:numPr>
          <w:ilvl w:val="4"/>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Explore a map or chart displaying churn by state.</w:t>
      </w:r>
    </w:p>
    <w:p w14:paraId="4F4ACEDE" w14:textId="77777777" w:rsidR="00C60457" w:rsidRPr="00C60457" w:rsidRDefault="00C60457" w:rsidP="00C60457">
      <w:pPr>
        <w:pStyle w:val="ListParagraph"/>
        <w:numPr>
          <w:ilvl w:val="4"/>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Identify regions with high cancellation rates for targeted retention strategies.</w:t>
      </w:r>
    </w:p>
    <w:p w14:paraId="03EF0A25" w14:textId="2CA1B118" w:rsidR="00C60457" w:rsidRPr="00C60457" w:rsidRDefault="00C60457" w:rsidP="00C60457">
      <w:pPr>
        <w:pStyle w:val="ListParagraph"/>
        <w:numPr>
          <w:ilvl w:val="3"/>
          <w:numId w:val="41"/>
        </w:numPr>
        <w:spacing w:before="100" w:beforeAutospacing="1" w:after="100" w:afterAutospacing="1" w:line="240" w:lineRule="auto"/>
        <w:rPr>
          <w:rFonts w:ascii="Lato" w:eastAsia="Times New Roman" w:hAnsi="Lato" w:cs="Times New Roman"/>
          <w:b/>
          <w:bCs/>
          <w:kern w:val="0"/>
          <w:sz w:val="21"/>
          <w:szCs w:val="21"/>
          <w14:ligatures w14:val="none"/>
        </w:rPr>
      </w:pPr>
      <w:r w:rsidRPr="00C60457">
        <w:rPr>
          <w:rFonts w:ascii="Lato" w:eastAsia="Times New Roman" w:hAnsi="Lato" w:cs="Times New Roman"/>
          <w:b/>
          <w:bCs/>
          <w:kern w:val="0"/>
          <w:sz w:val="21"/>
          <w:szCs w:val="21"/>
          <w14:ligatures w14:val="none"/>
        </w:rPr>
        <w:t>Population by Marital Status</w:t>
      </w:r>
      <w:r w:rsidRPr="00C60457">
        <w:rPr>
          <w:rFonts w:ascii="Lato" w:eastAsia="Times New Roman" w:hAnsi="Lato" w:cs="Times New Roman"/>
          <w:b/>
          <w:bCs/>
          <w:kern w:val="0"/>
          <w:sz w:val="21"/>
          <w:szCs w:val="21"/>
          <w14:ligatures w14:val="none"/>
        </w:rPr>
        <w:t xml:space="preserve">: </w:t>
      </w:r>
      <w:r w:rsidRPr="00C60457">
        <w:rPr>
          <w:rFonts w:ascii="Lato" w:eastAsia="Times New Roman" w:hAnsi="Lato" w:cs="Times New Roman"/>
          <w:color w:val="000000"/>
          <w:kern w:val="0"/>
          <w:sz w:val="21"/>
          <w:szCs w:val="21"/>
          <w14:ligatures w14:val="none"/>
        </w:rPr>
        <w:t>This insight breaks down customers by their marital status and overall population size. It helps understand if marital status has any connection to customer retention or cancellation rates.</w:t>
      </w:r>
    </w:p>
    <w:p w14:paraId="0464EBB6" w14:textId="77777777" w:rsidR="00C60457" w:rsidRPr="00C60457" w:rsidRDefault="00C60457" w:rsidP="00C60457">
      <w:pPr>
        <w:pStyle w:val="ListParagraph"/>
        <w:numPr>
          <w:ilvl w:val="4"/>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Review how customer population is segmented by marital status.</w:t>
      </w:r>
    </w:p>
    <w:p w14:paraId="2EB3566C" w14:textId="77777777" w:rsidR="00C60457" w:rsidRPr="00C60457" w:rsidRDefault="00C60457" w:rsidP="00C60457">
      <w:pPr>
        <w:pStyle w:val="ListParagraph"/>
        <w:numPr>
          <w:ilvl w:val="4"/>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Observe any patterns in retention based on these demographics.</w:t>
      </w:r>
    </w:p>
    <w:p w14:paraId="310734A4" w14:textId="3E9A1508" w:rsidR="00C60457" w:rsidRPr="00C60457" w:rsidRDefault="00C60457" w:rsidP="00C60457">
      <w:pPr>
        <w:pStyle w:val="ListParagraph"/>
        <w:numPr>
          <w:ilvl w:val="3"/>
          <w:numId w:val="41"/>
        </w:numPr>
        <w:spacing w:before="100" w:beforeAutospacing="1" w:after="100" w:afterAutospacing="1" w:line="240" w:lineRule="auto"/>
        <w:rPr>
          <w:rFonts w:ascii="Lato" w:eastAsia="Times New Roman" w:hAnsi="Lato" w:cs="Times New Roman"/>
          <w:b/>
          <w:bCs/>
          <w:kern w:val="0"/>
          <w:sz w:val="21"/>
          <w:szCs w:val="21"/>
          <w14:ligatures w14:val="none"/>
        </w:rPr>
      </w:pPr>
      <w:r w:rsidRPr="00C60457">
        <w:rPr>
          <w:rFonts w:ascii="Lato" w:eastAsia="Times New Roman" w:hAnsi="Lato" w:cs="Times New Roman"/>
          <w:b/>
          <w:bCs/>
          <w:kern w:val="0"/>
          <w:sz w:val="21"/>
          <w:szCs w:val="21"/>
          <w14:ligatures w14:val="none"/>
        </w:rPr>
        <w:t>Monthly Earnings by Contract Type</w:t>
      </w:r>
      <w:r w:rsidRPr="00C60457">
        <w:rPr>
          <w:rFonts w:ascii="Lato" w:eastAsia="Times New Roman" w:hAnsi="Lato" w:cs="Times New Roman"/>
          <w:b/>
          <w:bCs/>
          <w:kern w:val="0"/>
          <w:sz w:val="21"/>
          <w:szCs w:val="21"/>
          <w14:ligatures w14:val="none"/>
        </w:rPr>
        <w:t xml:space="preserve">: </w:t>
      </w:r>
      <w:r w:rsidRPr="00C60457">
        <w:rPr>
          <w:rFonts w:ascii="Lato" w:eastAsia="Times New Roman" w:hAnsi="Lato" w:cs="Times New Roman"/>
          <w:color w:val="000000"/>
          <w:kern w:val="0"/>
          <w:sz w:val="21"/>
          <w:szCs w:val="21"/>
          <w14:ligatures w14:val="none"/>
        </w:rPr>
        <w:t>This view shows how much revenue comes from different contract types (month-to-month, one-year, two-year) and highlights revenue lost from canceled contracts. It helps identify which contract types may need more focus to improve retention.</w:t>
      </w:r>
    </w:p>
    <w:p w14:paraId="7C7B5563" w14:textId="77777777" w:rsidR="00C60457" w:rsidRPr="00C60457" w:rsidRDefault="00C60457" w:rsidP="00C60457">
      <w:pPr>
        <w:pStyle w:val="ListParagraph"/>
        <w:numPr>
          <w:ilvl w:val="4"/>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See earnings from different contract types: month-to-month, one-year, and two-year.</w:t>
      </w:r>
    </w:p>
    <w:p w14:paraId="482C652A" w14:textId="5EF511F4" w:rsidR="00C60457" w:rsidRPr="00C60457" w:rsidRDefault="00C60457" w:rsidP="00C60457">
      <w:pPr>
        <w:pStyle w:val="ListParagraph"/>
        <w:numPr>
          <w:ilvl w:val="4"/>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Pay attention to lost revenue due to churn from specific contract types.</w:t>
      </w:r>
    </w:p>
    <w:p w14:paraId="1736D481" w14:textId="00E7AF7F" w:rsidR="00C60457" w:rsidRPr="00C60457" w:rsidRDefault="00C60457" w:rsidP="00C60457">
      <w:pPr>
        <w:pStyle w:val="ListParagraph"/>
        <w:numPr>
          <w:ilvl w:val="2"/>
          <w:numId w:val="41"/>
        </w:numPr>
        <w:spacing w:before="100" w:beforeAutospacing="1" w:after="100" w:afterAutospacing="1" w:line="240" w:lineRule="auto"/>
        <w:rPr>
          <w:rFonts w:ascii="Lato" w:eastAsia="Times New Roman" w:hAnsi="Lato" w:cs="Times New Roman"/>
          <w:b/>
          <w:bCs/>
          <w:kern w:val="0"/>
          <w:sz w:val="21"/>
          <w:szCs w:val="21"/>
          <w14:ligatures w14:val="none"/>
        </w:rPr>
      </w:pPr>
      <w:r w:rsidRPr="00C60457">
        <w:rPr>
          <w:rFonts w:ascii="Lato" w:eastAsia="Times New Roman" w:hAnsi="Lato" w:cs="Times New Roman"/>
          <w:b/>
          <w:bCs/>
          <w:kern w:val="0"/>
          <w:sz w:val="21"/>
          <w:szCs w:val="21"/>
          <w14:ligatures w14:val="none"/>
        </w:rPr>
        <w:t>Non-Filterable Insights</w:t>
      </w:r>
      <w:r w:rsidRPr="00C60457">
        <w:rPr>
          <w:rFonts w:ascii="Lato" w:eastAsia="Times New Roman" w:hAnsi="Lato" w:cs="Times New Roman"/>
          <w:b/>
          <w:bCs/>
          <w:kern w:val="0"/>
          <w:sz w:val="21"/>
          <w:szCs w:val="21"/>
          <w14:ligatures w14:val="none"/>
        </w:rPr>
        <w:t xml:space="preserve">: </w:t>
      </w:r>
      <w:r w:rsidRPr="00C60457">
        <w:rPr>
          <w:rFonts w:ascii="Lato" w:eastAsia="Times New Roman" w:hAnsi="Lato" w:cs="Times New Roman"/>
          <w:kern w:val="0"/>
          <w:sz w:val="21"/>
          <w:szCs w:val="21"/>
          <w14:ligatures w14:val="none"/>
        </w:rPr>
        <w:t>Fixed views meant to provide an overview or context.</w:t>
      </w:r>
    </w:p>
    <w:p w14:paraId="2D83134F" w14:textId="04D3AE2B" w:rsidR="00C60457" w:rsidRPr="00C60457" w:rsidRDefault="00C60457" w:rsidP="00C60457">
      <w:pPr>
        <w:pStyle w:val="ListParagraph"/>
        <w:numPr>
          <w:ilvl w:val="3"/>
          <w:numId w:val="41"/>
        </w:numPr>
        <w:spacing w:before="100" w:beforeAutospacing="1" w:after="100" w:afterAutospacing="1" w:line="240" w:lineRule="auto"/>
        <w:rPr>
          <w:rFonts w:ascii="Lato" w:eastAsia="Times New Roman" w:hAnsi="Lato" w:cs="Times New Roman"/>
          <w:b/>
          <w:bCs/>
          <w:kern w:val="0"/>
          <w:sz w:val="21"/>
          <w:szCs w:val="21"/>
          <w14:ligatures w14:val="none"/>
        </w:rPr>
      </w:pPr>
      <w:r w:rsidRPr="00C60457">
        <w:rPr>
          <w:rFonts w:ascii="Lato" w:eastAsia="Times New Roman" w:hAnsi="Lato" w:cs="Times New Roman"/>
          <w:b/>
          <w:bCs/>
          <w:kern w:val="0"/>
          <w:sz w:val="21"/>
          <w:szCs w:val="21"/>
          <w14:ligatures w14:val="none"/>
        </w:rPr>
        <w:lastRenderedPageBreak/>
        <w:t>Average Customer Satisfaction Rates</w:t>
      </w:r>
      <w:r w:rsidRPr="00C60457">
        <w:rPr>
          <w:rFonts w:ascii="Lato" w:eastAsia="Times New Roman" w:hAnsi="Lato" w:cs="Times New Roman"/>
          <w:b/>
          <w:bCs/>
          <w:kern w:val="0"/>
          <w:sz w:val="21"/>
          <w:szCs w:val="21"/>
          <w14:ligatures w14:val="none"/>
        </w:rPr>
        <w:t xml:space="preserve">: </w:t>
      </w:r>
      <w:r w:rsidRPr="00C60457">
        <w:rPr>
          <w:rFonts w:ascii="Lato" w:eastAsia="Times New Roman" w:hAnsi="Lato" w:cs="Times New Roman"/>
          <w:color w:val="000000"/>
          <w:kern w:val="0"/>
          <w:sz w:val="21"/>
          <w:szCs w:val="21"/>
          <w14:ligatures w14:val="none"/>
        </w:rPr>
        <w:t>This provides an overview of how customers rate their overall experience with our services. It points out where satisfaction is high or low, helping us understand potential reasons for cancellations.</w:t>
      </w:r>
    </w:p>
    <w:p w14:paraId="18888B41" w14:textId="77777777" w:rsidR="00C60457" w:rsidRPr="00C60457" w:rsidRDefault="00C60457" w:rsidP="00C60457">
      <w:pPr>
        <w:pStyle w:val="ListParagraph"/>
        <w:numPr>
          <w:ilvl w:val="4"/>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Examine overall customer satisfaction scores.</w:t>
      </w:r>
    </w:p>
    <w:p w14:paraId="4952F004" w14:textId="77777777" w:rsidR="00C60457" w:rsidRPr="00C60457" w:rsidRDefault="00C60457" w:rsidP="00C60457">
      <w:pPr>
        <w:pStyle w:val="ListParagraph"/>
        <w:numPr>
          <w:ilvl w:val="4"/>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Look for areas with low satisfaction, which might correlate with churn.</w:t>
      </w:r>
    </w:p>
    <w:p w14:paraId="0DCE9429" w14:textId="0A21C172" w:rsidR="00C60457" w:rsidRPr="00C60457" w:rsidRDefault="00C60457" w:rsidP="00C60457">
      <w:pPr>
        <w:pStyle w:val="ListParagraph"/>
        <w:numPr>
          <w:ilvl w:val="3"/>
          <w:numId w:val="41"/>
        </w:numPr>
        <w:spacing w:before="100" w:beforeAutospacing="1" w:after="100" w:afterAutospacing="1" w:line="240" w:lineRule="auto"/>
        <w:rPr>
          <w:rFonts w:ascii="Lato" w:eastAsia="Times New Roman" w:hAnsi="Lato" w:cs="Times New Roman"/>
          <w:b/>
          <w:bCs/>
          <w:kern w:val="0"/>
          <w:sz w:val="21"/>
          <w:szCs w:val="21"/>
          <w14:ligatures w14:val="none"/>
        </w:rPr>
      </w:pPr>
      <w:r w:rsidRPr="00C60457">
        <w:rPr>
          <w:rFonts w:ascii="Lato" w:eastAsia="Times New Roman" w:hAnsi="Lato" w:cs="Times New Roman"/>
          <w:b/>
          <w:bCs/>
          <w:kern w:val="0"/>
          <w:sz w:val="21"/>
          <w:szCs w:val="21"/>
          <w14:ligatures w14:val="none"/>
        </w:rPr>
        <w:t>Service Reliability Analysis</w:t>
      </w:r>
      <w:r w:rsidRPr="00C60457">
        <w:rPr>
          <w:rFonts w:ascii="Lato" w:eastAsia="Times New Roman" w:hAnsi="Lato" w:cs="Times New Roman"/>
          <w:b/>
          <w:bCs/>
          <w:kern w:val="0"/>
          <w:sz w:val="21"/>
          <w:szCs w:val="21"/>
          <w14:ligatures w14:val="none"/>
        </w:rPr>
        <w:t xml:space="preserve">: </w:t>
      </w:r>
      <w:r w:rsidRPr="00C60457">
        <w:rPr>
          <w:rFonts w:ascii="Lato" w:eastAsia="Times New Roman" w:hAnsi="Lato" w:cs="Times New Roman"/>
          <w:color w:val="000000"/>
          <w:kern w:val="0"/>
          <w:sz w:val="21"/>
          <w:szCs w:val="21"/>
          <w14:ligatures w14:val="none"/>
        </w:rPr>
        <w:t>This insight focuses on the reliability of our service, showing metrics such as equipment failure rates, average weekly outages, and how these affect customer cancellations. It also includes how long customers typically stay with us and how often they contacted us about issues in the last month.</w:t>
      </w:r>
    </w:p>
    <w:p w14:paraId="4916A00B" w14:textId="77777777" w:rsidR="00C60457" w:rsidRPr="00C60457" w:rsidRDefault="00C60457" w:rsidP="00C60457">
      <w:pPr>
        <w:pStyle w:val="ListParagraph"/>
        <w:numPr>
          <w:ilvl w:val="5"/>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Analyze service quality data including:</w:t>
      </w:r>
    </w:p>
    <w:p w14:paraId="040693DA" w14:textId="77777777" w:rsidR="00C60457" w:rsidRPr="00C60457" w:rsidRDefault="00C60457" w:rsidP="00C60457">
      <w:pPr>
        <w:pStyle w:val="ListParagraph"/>
        <w:numPr>
          <w:ilvl w:val="5"/>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Equipment failure rates</w:t>
      </w:r>
    </w:p>
    <w:p w14:paraId="0B62BB1C" w14:textId="77777777" w:rsidR="00C60457" w:rsidRPr="00C60457" w:rsidRDefault="00C60457" w:rsidP="00C60457">
      <w:pPr>
        <w:pStyle w:val="ListParagraph"/>
        <w:numPr>
          <w:ilvl w:val="5"/>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Weekly outages</w:t>
      </w:r>
    </w:p>
    <w:p w14:paraId="65B0DB64" w14:textId="77777777" w:rsidR="00C60457" w:rsidRPr="00C60457" w:rsidRDefault="00C60457" w:rsidP="00C60457">
      <w:pPr>
        <w:pStyle w:val="ListParagraph"/>
        <w:numPr>
          <w:ilvl w:val="5"/>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Customer tenure</w:t>
      </w:r>
    </w:p>
    <w:p w14:paraId="4CDD6A56" w14:textId="77777777" w:rsidR="00C60457" w:rsidRPr="00C60457" w:rsidRDefault="00C60457" w:rsidP="00C60457">
      <w:pPr>
        <w:pStyle w:val="ListParagraph"/>
        <w:numPr>
          <w:ilvl w:val="5"/>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Support contact frequency</w:t>
      </w:r>
    </w:p>
    <w:p w14:paraId="65454B5E" w14:textId="77777777" w:rsidR="00C60457" w:rsidRPr="00C60457" w:rsidRDefault="00C60457" w:rsidP="00C60457">
      <w:pPr>
        <w:pStyle w:val="ListParagraph"/>
        <w:numPr>
          <w:ilvl w:val="1"/>
          <w:numId w:val="41"/>
        </w:numPr>
        <w:spacing w:before="100" w:beforeAutospacing="1" w:after="100" w:afterAutospacing="1" w:line="240" w:lineRule="auto"/>
        <w:rPr>
          <w:rFonts w:ascii="Lato" w:eastAsia="Times New Roman" w:hAnsi="Lato" w:cs="Times New Roman"/>
          <w:kern w:val="0"/>
          <w:sz w:val="21"/>
          <w:szCs w:val="21"/>
          <w14:ligatures w14:val="none"/>
        </w:rPr>
      </w:pPr>
      <w:r w:rsidRPr="00C60457">
        <w:rPr>
          <w:rFonts w:ascii="Lato" w:eastAsia="Times New Roman" w:hAnsi="Lato" w:cs="Times New Roman"/>
          <w:kern w:val="0"/>
          <w:sz w:val="21"/>
          <w:szCs w:val="21"/>
          <w14:ligatures w14:val="none"/>
        </w:rPr>
        <w:t>Assess how these issues contribute to customer cancellations.</w:t>
      </w:r>
    </w:p>
    <w:p w14:paraId="2E08F35F" w14:textId="77777777" w:rsidR="001D45B4" w:rsidRDefault="001D45B4" w:rsidP="001D45B4">
      <w:pPr>
        <w:spacing w:before="100" w:beforeAutospacing="1" w:after="100" w:afterAutospacing="1" w:line="240" w:lineRule="auto"/>
        <w:rPr>
          <w:rFonts w:ascii="Times New Roman" w:eastAsia="Times New Roman" w:hAnsi="Times New Roman" w:cs="Times New Roman"/>
        </w:rPr>
      </w:pPr>
    </w:p>
    <w:p w14:paraId="56EA4121" w14:textId="77777777" w:rsidR="00047183" w:rsidRDefault="001D45B4" w:rsidP="00047183">
      <w:pPr>
        <w:pStyle w:val="NormalWeb"/>
        <w:numPr>
          <w:ilvl w:val="0"/>
          <w:numId w:val="4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Explain how the purpose of your dashboard aligns with the needs outlined in the scenario associated with your chosen dataset.</w:t>
      </w:r>
    </w:p>
    <w:p w14:paraId="54939F49" w14:textId="55CDE580" w:rsidR="001D45B4" w:rsidRPr="00047183" w:rsidRDefault="001D45B4" w:rsidP="00047183">
      <w:pPr>
        <w:pStyle w:val="NormalWeb"/>
        <w:numPr>
          <w:ilvl w:val="1"/>
          <w:numId w:val="41"/>
        </w:numPr>
        <w:shd w:val="clear" w:color="auto" w:fill="FFFFFF"/>
        <w:spacing w:before="0" w:beforeAutospacing="0" w:after="0" w:afterAutospacing="0"/>
        <w:rPr>
          <w:rFonts w:ascii="Lato" w:hAnsi="Lato"/>
          <w:color w:val="333333"/>
          <w:sz w:val="21"/>
          <w:szCs w:val="21"/>
        </w:rPr>
      </w:pPr>
      <w:r w:rsidRPr="00047183">
        <w:rPr>
          <w:rFonts w:ascii="Lato" w:hAnsi="Lato"/>
          <w:color w:val="333333"/>
          <w:sz w:val="21"/>
          <w:szCs w:val="21"/>
        </w:rPr>
        <w:t>The purpose of this Telecommunications Retention Performance dashboard is to deliver clear, actionable insights into the key factors driving customer churn and retention—directly aligning with the scenario’s goal of reducing churn in a highly competitive telecom industry. It highlights customer satisfaction trends and identifies engagement areas that require improvement. Additionally, it provides visibility into monthly service charges, segmented by factors such as marital status and population, offering deeper insights into pricing impact. The dashboard also presents data on service reliability and its correlation with churn rates, enabling the business to pinpoint and address service-related issues that may be contributing to customer loss.</w:t>
      </w:r>
    </w:p>
    <w:p w14:paraId="6A7E926E" w14:textId="6B384B22" w:rsidR="001D45B4" w:rsidRDefault="001D45B4" w:rsidP="00047183">
      <w:pPr>
        <w:pStyle w:val="NormalWeb"/>
        <w:numPr>
          <w:ilvl w:val="0"/>
          <w:numId w:val="4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Explain </w:t>
      </w:r>
      <w:r>
        <w:rPr>
          <w:rStyle w:val="Strong"/>
          <w:rFonts w:ascii="Lato" w:eastAsiaTheme="majorEastAsia" w:hAnsi="Lato"/>
          <w:color w:val="333333"/>
          <w:sz w:val="21"/>
          <w:szCs w:val="21"/>
        </w:rPr>
        <w:t>three</w:t>
      </w:r>
      <w:r>
        <w:rPr>
          <w:rFonts w:ascii="Lato" w:hAnsi="Lato"/>
          <w:color w:val="333333"/>
          <w:sz w:val="21"/>
          <w:szCs w:val="21"/>
        </w:rPr>
        <w:t> different ways you would change your data storytelling approach when presenting to a technical versus nontechnical audience.</w:t>
      </w:r>
    </w:p>
    <w:p w14:paraId="2B72612C" w14:textId="77777777" w:rsidR="001D45B4" w:rsidRPr="001D45B4" w:rsidRDefault="001D45B4" w:rsidP="00047183">
      <w:pPr>
        <w:pStyle w:val="NormalWeb"/>
        <w:numPr>
          <w:ilvl w:val="1"/>
          <w:numId w:val="41"/>
        </w:numPr>
        <w:shd w:val="clear" w:color="auto" w:fill="FFFFFF"/>
        <w:spacing w:before="0" w:beforeAutospacing="0" w:after="0" w:afterAutospacing="0"/>
        <w:rPr>
          <w:rStyle w:val="Strong"/>
          <w:rFonts w:ascii="Lato" w:eastAsiaTheme="majorEastAsia" w:hAnsi="Lato"/>
          <w:b w:val="0"/>
          <w:bCs w:val="0"/>
          <w:color w:val="333333"/>
          <w:sz w:val="21"/>
          <w:szCs w:val="21"/>
        </w:rPr>
      </w:pPr>
      <w:r w:rsidRPr="001D45B4">
        <w:rPr>
          <w:rStyle w:val="Strong"/>
          <w:rFonts w:ascii="Lato" w:eastAsiaTheme="majorEastAsia" w:hAnsi="Lato"/>
          <w:b w:val="0"/>
          <w:bCs w:val="0"/>
          <w:color w:val="333333"/>
          <w:sz w:val="21"/>
          <w:szCs w:val="21"/>
        </w:rPr>
        <w:t>For technical audiences, provide a deeper analysis that includes statistical significance, underlying data structures, and data processing methods. For non-technical audiences, focus on high-level insights and business relevance. Avoid technical jargon, and use clear, simple language and analogies to explain what the numbers represent.</w:t>
      </w:r>
    </w:p>
    <w:p w14:paraId="3B599FB2" w14:textId="77777777" w:rsidR="001D45B4" w:rsidRPr="001D45B4" w:rsidRDefault="001D45B4" w:rsidP="00047183">
      <w:pPr>
        <w:pStyle w:val="NormalWeb"/>
        <w:numPr>
          <w:ilvl w:val="1"/>
          <w:numId w:val="41"/>
        </w:numPr>
        <w:shd w:val="clear" w:color="auto" w:fill="FFFFFF"/>
        <w:spacing w:before="0" w:beforeAutospacing="0" w:after="0" w:afterAutospacing="0"/>
        <w:rPr>
          <w:rStyle w:val="Strong"/>
          <w:rFonts w:ascii="Lato" w:eastAsiaTheme="majorEastAsia" w:hAnsi="Lato"/>
          <w:b w:val="0"/>
          <w:bCs w:val="0"/>
          <w:color w:val="333333"/>
          <w:sz w:val="21"/>
          <w:szCs w:val="21"/>
        </w:rPr>
      </w:pPr>
      <w:r w:rsidRPr="001D45B4">
        <w:rPr>
          <w:rStyle w:val="Strong"/>
          <w:rFonts w:ascii="Lato" w:eastAsiaTheme="majorEastAsia" w:hAnsi="Lato"/>
          <w:b w:val="0"/>
          <w:bCs w:val="0"/>
          <w:color w:val="333333"/>
          <w:sz w:val="21"/>
          <w:szCs w:val="21"/>
        </w:rPr>
        <w:t>For technical audiences, present detailed data such as raw tables, precise metrics, and advanced visuals like correlation matrices to support in-depth analysis. For non-technical audiences, use simple, easy-to-understand visuals—such as bar charts and color-coded maps—and minimize raw data. Emphasize key takeaways through clear visual cues.</w:t>
      </w:r>
    </w:p>
    <w:p w14:paraId="58344923" w14:textId="032275EB" w:rsidR="001D45B4" w:rsidRPr="001D45B4" w:rsidRDefault="001D45B4" w:rsidP="00047183">
      <w:pPr>
        <w:pStyle w:val="NormalWeb"/>
        <w:numPr>
          <w:ilvl w:val="1"/>
          <w:numId w:val="41"/>
        </w:numPr>
        <w:shd w:val="clear" w:color="auto" w:fill="FFFFFF"/>
        <w:spacing w:before="0" w:beforeAutospacing="0" w:after="0" w:afterAutospacing="0"/>
        <w:rPr>
          <w:rStyle w:val="Strong"/>
          <w:rFonts w:eastAsiaTheme="majorEastAsia"/>
          <w:b w:val="0"/>
          <w:bCs w:val="0"/>
        </w:rPr>
      </w:pPr>
      <w:r w:rsidRPr="001D45B4">
        <w:rPr>
          <w:rStyle w:val="Strong"/>
          <w:rFonts w:ascii="Lato" w:eastAsiaTheme="majorEastAsia" w:hAnsi="Lato"/>
          <w:b w:val="0"/>
          <w:bCs w:val="0"/>
          <w:color w:val="333333"/>
          <w:sz w:val="21"/>
          <w:szCs w:val="21"/>
        </w:rPr>
        <w:t>For technical audiences, emphasize data accuracy, the analytical methodology used, and how the findings can support future modeling or operational enhancements. For non-technical audiences, focus on the narrative—what the data reveals about customer satisfaction, revenue impact, and actionable steps to improve customer retention.</w:t>
      </w:r>
    </w:p>
    <w:p w14:paraId="5C6D87BB" w14:textId="77777777" w:rsidR="001D45B4" w:rsidRDefault="001D45B4" w:rsidP="001D45B4">
      <w:pPr>
        <w:pStyle w:val="NormalWeb"/>
        <w:shd w:val="clear" w:color="auto" w:fill="FFFFFF"/>
        <w:spacing w:before="0" w:beforeAutospacing="0" w:after="0" w:afterAutospacing="0"/>
        <w:rPr>
          <w:rFonts w:ascii="Lato" w:hAnsi="Lato"/>
          <w:color w:val="333333"/>
          <w:sz w:val="21"/>
          <w:szCs w:val="21"/>
        </w:rPr>
      </w:pPr>
    </w:p>
    <w:p w14:paraId="14C47D2D" w14:textId="456F83A1" w:rsidR="001D45B4" w:rsidRDefault="001D45B4" w:rsidP="00047183">
      <w:pPr>
        <w:pStyle w:val="NormalWeb"/>
        <w:numPr>
          <w:ilvl w:val="0"/>
          <w:numId w:val="4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lastRenderedPageBreak/>
        <w:t>Identify </w:t>
      </w:r>
      <w:r>
        <w:rPr>
          <w:rStyle w:val="Strong"/>
          <w:rFonts w:ascii="Lato" w:eastAsiaTheme="majorEastAsia" w:hAnsi="Lato"/>
          <w:color w:val="333333"/>
          <w:sz w:val="21"/>
          <w:szCs w:val="21"/>
        </w:rPr>
        <w:t>two</w:t>
      </w:r>
      <w:r>
        <w:rPr>
          <w:rFonts w:ascii="Lato" w:hAnsi="Lato"/>
          <w:color w:val="333333"/>
          <w:sz w:val="21"/>
          <w:szCs w:val="21"/>
        </w:rPr>
        <w:t xml:space="preserve"> elements of effective storytelling you could use to present this </w:t>
      </w:r>
      <w:proofErr w:type="gramStart"/>
      <w:r>
        <w:rPr>
          <w:rFonts w:ascii="Lato" w:hAnsi="Lato"/>
          <w:color w:val="333333"/>
          <w:sz w:val="21"/>
          <w:szCs w:val="21"/>
        </w:rPr>
        <w:t>dashboard, and</w:t>
      </w:r>
      <w:proofErr w:type="gramEnd"/>
      <w:r>
        <w:rPr>
          <w:rFonts w:ascii="Lato" w:hAnsi="Lato"/>
          <w:color w:val="333333"/>
          <w:sz w:val="21"/>
          <w:szCs w:val="21"/>
        </w:rPr>
        <w:t xml:space="preserve"> explain how </w:t>
      </w:r>
      <w:r>
        <w:rPr>
          <w:rStyle w:val="Emphasis"/>
          <w:rFonts w:ascii="Lato" w:eastAsiaTheme="majorEastAsia" w:hAnsi="Lato"/>
          <w:color w:val="333333"/>
          <w:sz w:val="21"/>
          <w:szCs w:val="21"/>
        </w:rPr>
        <w:t>each</w:t>
      </w:r>
      <w:r>
        <w:rPr>
          <w:rFonts w:ascii="Lato" w:hAnsi="Lato"/>
          <w:color w:val="333333"/>
          <w:sz w:val="21"/>
          <w:szCs w:val="21"/>
        </w:rPr>
        <w:t> element would engage the audience.</w:t>
      </w:r>
    </w:p>
    <w:p w14:paraId="17053AE6" w14:textId="1444101A" w:rsidR="001D45B4" w:rsidRPr="001D45B4" w:rsidRDefault="001D45B4" w:rsidP="00047183">
      <w:pPr>
        <w:pStyle w:val="NormalWeb"/>
        <w:numPr>
          <w:ilvl w:val="1"/>
          <w:numId w:val="41"/>
        </w:numPr>
        <w:shd w:val="clear" w:color="auto" w:fill="FFFFFF"/>
        <w:spacing w:before="0" w:beforeAutospacing="0" w:after="0" w:afterAutospacing="0"/>
        <w:rPr>
          <w:rFonts w:ascii="Lato" w:hAnsi="Lato"/>
          <w:color w:val="333333"/>
          <w:sz w:val="21"/>
          <w:szCs w:val="21"/>
        </w:rPr>
      </w:pPr>
      <w:r w:rsidRPr="001D45B4">
        <w:rPr>
          <w:rFonts w:ascii="Lato" w:hAnsi="Lato"/>
          <w:b/>
          <w:bCs/>
          <w:color w:val="333333"/>
          <w:sz w:val="21"/>
          <w:szCs w:val="21"/>
        </w:rPr>
        <w:t>Presenting Data Through Clear, Relatable Narratives</w:t>
      </w:r>
      <w:r>
        <w:rPr>
          <w:rFonts w:ascii="Lato" w:hAnsi="Lato"/>
          <w:color w:val="333333"/>
          <w:sz w:val="21"/>
          <w:szCs w:val="21"/>
        </w:rPr>
        <w:t xml:space="preserve"> - </w:t>
      </w:r>
      <w:r w:rsidRPr="001D45B4">
        <w:rPr>
          <w:rFonts w:ascii="Lato" w:hAnsi="Lato"/>
          <w:color w:val="333333"/>
          <w:sz w:val="21"/>
          <w:szCs w:val="21"/>
        </w:rPr>
        <w:t>Breaking down each dashboard section with simple, real-world examples—such as “Customers with higher monthly charges are more likely to churn” or “States with higher churn rates may need targeted retention strategies”—helps the audience connect data to business outcomes. This approach makes insights easier to remember and more actionable.</w:t>
      </w:r>
    </w:p>
    <w:p w14:paraId="3EB1414D" w14:textId="6A87B3C0" w:rsidR="001D45B4" w:rsidRPr="001D45B4" w:rsidRDefault="001D45B4" w:rsidP="00047183">
      <w:pPr>
        <w:pStyle w:val="NormalWeb"/>
        <w:numPr>
          <w:ilvl w:val="1"/>
          <w:numId w:val="41"/>
        </w:numPr>
        <w:shd w:val="clear" w:color="auto" w:fill="FFFFFF"/>
        <w:spacing w:before="0" w:beforeAutospacing="0" w:after="0" w:afterAutospacing="0"/>
        <w:rPr>
          <w:rFonts w:ascii="Lato" w:hAnsi="Lato"/>
          <w:color w:val="333333"/>
          <w:sz w:val="21"/>
          <w:szCs w:val="21"/>
        </w:rPr>
      </w:pPr>
      <w:r w:rsidRPr="001D45B4">
        <w:rPr>
          <w:rFonts w:ascii="Lato" w:hAnsi="Lato"/>
          <w:b/>
          <w:bCs/>
          <w:color w:val="333333"/>
          <w:sz w:val="21"/>
          <w:szCs w:val="21"/>
        </w:rPr>
        <w:t>Leveraging Visual Hierarchy, Highlights, and Filters</w:t>
      </w:r>
      <w:r>
        <w:rPr>
          <w:rFonts w:ascii="Lato" w:hAnsi="Lato"/>
          <w:color w:val="333333"/>
          <w:sz w:val="21"/>
          <w:szCs w:val="21"/>
        </w:rPr>
        <w:t xml:space="preserve"> - </w:t>
      </w:r>
      <w:r w:rsidRPr="001D45B4">
        <w:rPr>
          <w:rFonts w:ascii="Lato" w:hAnsi="Lato"/>
          <w:color w:val="333333"/>
          <w:sz w:val="21"/>
          <w:szCs w:val="21"/>
        </w:rPr>
        <w:t>Using visual cues like color, size, and strategic placement to spotlight key metrics—such as outage rates or revenue loss by contract type—draws the audience’s attention to the most critical information. Filters also enhance interactivity, allowing users to explore relevant data without being overwhelmed by unnecessary details.</w:t>
      </w:r>
    </w:p>
    <w:p w14:paraId="1F4A0910" w14:textId="77777777" w:rsidR="001D45B4" w:rsidRDefault="001D45B4" w:rsidP="001D45B4">
      <w:pPr>
        <w:pStyle w:val="NormalWeb"/>
        <w:shd w:val="clear" w:color="auto" w:fill="FFFFFF"/>
        <w:spacing w:before="0" w:beforeAutospacing="0" w:after="0" w:afterAutospacing="0"/>
        <w:rPr>
          <w:rFonts w:ascii="Lato" w:hAnsi="Lato"/>
          <w:color w:val="333333"/>
          <w:sz w:val="21"/>
          <w:szCs w:val="21"/>
        </w:rPr>
      </w:pPr>
    </w:p>
    <w:p w14:paraId="78A0E52E" w14:textId="77777777" w:rsidR="00686FE2" w:rsidRDefault="00686FE2" w:rsidP="00686FE2"/>
    <w:p w14:paraId="67DFB942" w14:textId="77777777" w:rsidR="00AD4B41" w:rsidRDefault="00AD4B41" w:rsidP="00686FE2"/>
    <w:p w14:paraId="4F84FE76" w14:textId="77777777" w:rsidR="00686FE2" w:rsidRPr="00AD4B41" w:rsidRDefault="00686FE2" w:rsidP="00AD4B41">
      <w:pPr>
        <w:pStyle w:val="NormalWeb"/>
        <w:shd w:val="clear" w:color="auto" w:fill="FFFFFF"/>
        <w:spacing w:before="0" w:beforeAutospacing="0" w:after="0" w:afterAutospacing="0"/>
        <w:rPr>
          <w:rFonts w:ascii="Lato" w:hAnsi="Lato"/>
          <w:b/>
          <w:bCs/>
          <w:color w:val="333333"/>
          <w:sz w:val="21"/>
          <w:szCs w:val="21"/>
        </w:rPr>
      </w:pPr>
      <w:r w:rsidRPr="00AD4B41">
        <w:rPr>
          <w:rFonts w:ascii="Lato" w:hAnsi="Lato"/>
          <w:b/>
          <w:bCs/>
          <w:color w:val="333333"/>
          <w:sz w:val="21"/>
          <w:szCs w:val="21"/>
        </w:rPr>
        <w:t xml:space="preserve">Reference: </w:t>
      </w:r>
    </w:p>
    <w:p w14:paraId="3C22CC29" w14:textId="77777777" w:rsidR="00686FE2" w:rsidRPr="00AD4B41" w:rsidRDefault="00686FE2" w:rsidP="00AD4B41">
      <w:pPr>
        <w:pStyle w:val="NormalWeb"/>
        <w:numPr>
          <w:ilvl w:val="0"/>
          <w:numId w:val="44"/>
        </w:numPr>
        <w:shd w:val="clear" w:color="auto" w:fill="FFFFFF"/>
        <w:spacing w:before="0" w:beforeAutospacing="0" w:after="0" w:afterAutospacing="0"/>
        <w:rPr>
          <w:rFonts w:ascii="Lato" w:hAnsi="Lato"/>
          <w:color w:val="333333"/>
          <w:sz w:val="21"/>
          <w:szCs w:val="21"/>
        </w:rPr>
      </w:pPr>
      <w:r w:rsidRPr="00AD4B41">
        <w:rPr>
          <w:rFonts w:ascii="Lato" w:hAnsi="Lato"/>
          <w:color w:val="333333"/>
          <w:sz w:val="21"/>
          <w:szCs w:val="21"/>
        </w:rPr>
        <w:t>External resources not used in this submission</w:t>
      </w:r>
    </w:p>
    <w:p w14:paraId="5222C7AF" w14:textId="77777777" w:rsidR="001D45B4" w:rsidRPr="001D45B4" w:rsidRDefault="001D45B4" w:rsidP="001D45B4">
      <w:pPr>
        <w:spacing w:before="100" w:beforeAutospacing="1" w:after="100" w:afterAutospacing="1" w:line="240" w:lineRule="auto"/>
        <w:rPr>
          <w:rFonts w:ascii="Times New Roman" w:eastAsia="Times New Roman" w:hAnsi="Times New Roman" w:cs="Times New Roman"/>
          <w:color w:val="000000"/>
          <w:kern w:val="0"/>
          <w14:ligatures w14:val="none"/>
        </w:rPr>
      </w:pPr>
    </w:p>
    <w:sectPr w:rsidR="001D45B4" w:rsidRPr="001D45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9B"/>
    <w:multiLevelType w:val="multilevel"/>
    <w:tmpl w:val="24F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5F11"/>
    <w:multiLevelType w:val="multilevel"/>
    <w:tmpl w:val="B76A00BE"/>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95CF9"/>
    <w:multiLevelType w:val="multilevel"/>
    <w:tmpl w:val="12025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34EEC"/>
    <w:multiLevelType w:val="multilevel"/>
    <w:tmpl w:val="EE44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15F6B"/>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80257B"/>
    <w:multiLevelType w:val="hybridMultilevel"/>
    <w:tmpl w:val="BF72F918"/>
    <w:lvl w:ilvl="0" w:tplc="1D023BB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C704F91"/>
    <w:multiLevelType w:val="multilevel"/>
    <w:tmpl w:val="82A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A1EDE"/>
    <w:multiLevelType w:val="multilevel"/>
    <w:tmpl w:val="CA3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A5AB5"/>
    <w:multiLevelType w:val="multilevel"/>
    <w:tmpl w:val="C762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C86C67"/>
    <w:multiLevelType w:val="multilevel"/>
    <w:tmpl w:val="10B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2679D"/>
    <w:multiLevelType w:val="hybridMultilevel"/>
    <w:tmpl w:val="5EF8D7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2FF3"/>
    <w:multiLevelType w:val="multilevel"/>
    <w:tmpl w:val="62EA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50365"/>
    <w:multiLevelType w:val="hybridMultilevel"/>
    <w:tmpl w:val="E84674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600045"/>
    <w:multiLevelType w:val="multilevel"/>
    <w:tmpl w:val="EF44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62BA0"/>
    <w:multiLevelType w:val="multilevel"/>
    <w:tmpl w:val="BEEC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C2E53"/>
    <w:multiLevelType w:val="hybridMultilevel"/>
    <w:tmpl w:val="A12CA254"/>
    <w:lvl w:ilvl="0" w:tplc="3D8226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3B522F"/>
    <w:multiLevelType w:val="multilevel"/>
    <w:tmpl w:val="B14C61B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32AFC"/>
    <w:multiLevelType w:val="hybridMultilevel"/>
    <w:tmpl w:val="7234D960"/>
    <w:lvl w:ilvl="0" w:tplc="D696D3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C43401"/>
    <w:multiLevelType w:val="multilevel"/>
    <w:tmpl w:val="B5B6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37BF1"/>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AB64210"/>
    <w:multiLevelType w:val="multilevel"/>
    <w:tmpl w:val="57A0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E5986"/>
    <w:multiLevelType w:val="multilevel"/>
    <w:tmpl w:val="C734AE3A"/>
    <w:lvl w:ilvl="0">
      <w:start w:val="1"/>
      <w:numFmt w:val="upperRoman"/>
      <w:lvlText w:val="%1."/>
      <w:lvlJc w:val="right"/>
      <w:pPr>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2F034C14"/>
    <w:multiLevelType w:val="multilevel"/>
    <w:tmpl w:val="9DB6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A2509"/>
    <w:multiLevelType w:val="multilevel"/>
    <w:tmpl w:val="FCBE8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E74D2B"/>
    <w:multiLevelType w:val="multilevel"/>
    <w:tmpl w:val="529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86356"/>
    <w:multiLevelType w:val="multilevel"/>
    <w:tmpl w:val="6CF8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62624"/>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9F10968"/>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FD62B2C"/>
    <w:multiLevelType w:val="multilevel"/>
    <w:tmpl w:val="F514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BE5AF9"/>
    <w:multiLevelType w:val="multilevel"/>
    <w:tmpl w:val="B19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113C30"/>
    <w:multiLevelType w:val="hybridMultilevel"/>
    <w:tmpl w:val="A12EF89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1" w15:restartNumberingAfterBreak="0">
    <w:nsid w:val="46E63178"/>
    <w:multiLevelType w:val="multilevel"/>
    <w:tmpl w:val="EE6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87025"/>
    <w:multiLevelType w:val="multilevel"/>
    <w:tmpl w:val="1D685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046E0"/>
    <w:multiLevelType w:val="multilevel"/>
    <w:tmpl w:val="8D6A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FE011C"/>
    <w:multiLevelType w:val="multilevel"/>
    <w:tmpl w:val="84D2C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1575BB"/>
    <w:multiLevelType w:val="multilevel"/>
    <w:tmpl w:val="2CE84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532024"/>
    <w:multiLevelType w:val="hybridMultilevel"/>
    <w:tmpl w:val="552CD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B64ACA"/>
    <w:multiLevelType w:val="multilevel"/>
    <w:tmpl w:val="DFCC1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517652"/>
    <w:multiLevelType w:val="multilevel"/>
    <w:tmpl w:val="02CC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A63C79"/>
    <w:multiLevelType w:val="hybridMultilevel"/>
    <w:tmpl w:val="857ED3B6"/>
    <w:lvl w:ilvl="0" w:tplc="A87AC2E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90562A"/>
    <w:multiLevelType w:val="multilevel"/>
    <w:tmpl w:val="B478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B06B8"/>
    <w:multiLevelType w:val="multilevel"/>
    <w:tmpl w:val="F73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640D01"/>
    <w:multiLevelType w:val="multilevel"/>
    <w:tmpl w:val="367E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77487D"/>
    <w:multiLevelType w:val="hybridMultilevel"/>
    <w:tmpl w:val="531E13E2"/>
    <w:lvl w:ilvl="0" w:tplc="2C52973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2D2A5D"/>
    <w:multiLevelType w:val="multilevel"/>
    <w:tmpl w:val="FD6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737E5"/>
    <w:multiLevelType w:val="multilevel"/>
    <w:tmpl w:val="254A11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14369E8"/>
    <w:multiLevelType w:val="multilevel"/>
    <w:tmpl w:val="94C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534196"/>
    <w:multiLevelType w:val="multilevel"/>
    <w:tmpl w:val="C76296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0B72A5"/>
    <w:multiLevelType w:val="multilevel"/>
    <w:tmpl w:val="D59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6A23D2"/>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7FF4227"/>
    <w:multiLevelType w:val="multilevel"/>
    <w:tmpl w:val="076E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D30627"/>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DF2785C"/>
    <w:multiLevelType w:val="multilevel"/>
    <w:tmpl w:val="6AA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510CE3"/>
    <w:multiLevelType w:val="multilevel"/>
    <w:tmpl w:val="60DE90E2"/>
    <w:lvl w:ilvl="0">
      <w:start w:val="1"/>
      <w:numFmt w:val="upperRoman"/>
      <w:lvlText w:val="%1."/>
      <w:lvlJc w:val="right"/>
      <w:pPr>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670254684">
    <w:abstractNumId w:val="11"/>
  </w:num>
  <w:num w:numId="2" w16cid:durableId="1010332766">
    <w:abstractNumId w:val="32"/>
  </w:num>
  <w:num w:numId="3" w16cid:durableId="421537563">
    <w:abstractNumId w:val="6"/>
  </w:num>
  <w:num w:numId="4" w16cid:durableId="1586722952">
    <w:abstractNumId w:val="45"/>
  </w:num>
  <w:num w:numId="5" w16cid:durableId="1762680149">
    <w:abstractNumId w:val="41"/>
  </w:num>
  <w:num w:numId="6" w16cid:durableId="526606019">
    <w:abstractNumId w:val="28"/>
  </w:num>
  <w:num w:numId="7" w16cid:durableId="1082414557">
    <w:abstractNumId w:val="16"/>
  </w:num>
  <w:num w:numId="8" w16cid:durableId="1538812220">
    <w:abstractNumId w:val="31"/>
  </w:num>
  <w:num w:numId="9" w16cid:durableId="962081750">
    <w:abstractNumId w:val="48"/>
  </w:num>
  <w:num w:numId="10" w16cid:durableId="2087412839">
    <w:abstractNumId w:val="42"/>
  </w:num>
  <w:num w:numId="11" w16cid:durableId="492795415">
    <w:abstractNumId w:val="9"/>
  </w:num>
  <w:num w:numId="12" w16cid:durableId="1459715496">
    <w:abstractNumId w:val="37"/>
  </w:num>
  <w:num w:numId="13" w16cid:durableId="1177620573">
    <w:abstractNumId w:val="40"/>
  </w:num>
  <w:num w:numId="14" w16cid:durableId="615218085">
    <w:abstractNumId w:val="1"/>
  </w:num>
  <w:num w:numId="15" w16cid:durableId="1294871625">
    <w:abstractNumId w:val="10"/>
  </w:num>
  <w:num w:numId="16" w16cid:durableId="1328900604">
    <w:abstractNumId w:val="4"/>
  </w:num>
  <w:num w:numId="17" w16cid:durableId="1620142331">
    <w:abstractNumId w:val="26"/>
  </w:num>
  <w:num w:numId="18" w16cid:durableId="1980333035">
    <w:abstractNumId w:val="49"/>
  </w:num>
  <w:num w:numId="19" w16cid:durableId="49885070">
    <w:abstractNumId w:val="27"/>
  </w:num>
  <w:num w:numId="20" w16cid:durableId="691493739">
    <w:abstractNumId w:val="19"/>
  </w:num>
  <w:num w:numId="21" w16cid:durableId="949436150">
    <w:abstractNumId w:val="51"/>
  </w:num>
  <w:num w:numId="22" w16cid:durableId="1704361767">
    <w:abstractNumId w:val="2"/>
  </w:num>
  <w:num w:numId="23" w16cid:durableId="337315533">
    <w:abstractNumId w:val="33"/>
  </w:num>
  <w:num w:numId="24" w16cid:durableId="1916930982">
    <w:abstractNumId w:val="14"/>
  </w:num>
  <w:num w:numId="25" w16cid:durableId="546796338">
    <w:abstractNumId w:val="13"/>
  </w:num>
  <w:num w:numId="26" w16cid:durableId="1926718477">
    <w:abstractNumId w:val="18"/>
  </w:num>
  <w:num w:numId="27" w16cid:durableId="1990358180">
    <w:abstractNumId w:val="0"/>
  </w:num>
  <w:num w:numId="28" w16cid:durableId="102920600">
    <w:abstractNumId w:val="50"/>
  </w:num>
  <w:num w:numId="29" w16cid:durableId="1489051645">
    <w:abstractNumId w:val="22"/>
  </w:num>
  <w:num w:numId="30" w16cid:durableId="760099394">
    <w:abstractNumId w:val="35"/>
  </w:num>
  <w:num w:numId="31" w16cid:durableId="1068187439">
    <w:abstractNumId w:val="47"/>
  </w:num>
  <w:num w:numId="32" w16cid:durableId="571890853">
    <w:abstractNumId w:val="23"/>
  </w:num>
  <w:num w:numId="33" w16cid:durableId="127016366">
    <w:abstractNumId w:val="30"/>
  </w:num>
  <w:num w:numId="34" w16cid:durableId="800269398">
    <w:abstractNumId w:val="44"/>
  </w:num>
  <w:num w:numId="35" w16cid:durableId="1079596849">
    <w:abstractNumId w:val="20"/>
  </w:num>
  <w:num w:numId="36" w16cid:durableId="897394691">
    <w:abstractNumId w:val="25"/>
  </w:num>
  <w:num w:numId="37" w16cid:durableId="623197307">
    <w:abstractNumId w:val="8"/>
  </w:num>
  <w:num w:numId="38" w16cid:durableId="1860974145">
    <w:abstractNumId w:val="15"/>
  </w:num>
  <w:num w:numId="39" w16cid:durableId="559293478">
    <w:abstractNumId w:val="5"/>
  </w:num>
  <w:num w:numId="40" w16cid:durableId="61609393">
    <w:abstractNumId w:val="17"/>
  </w:num>
  <w:num w:numId="41" w16cid:durableId="65343770">
    <w:abstractNumId w:val="39"/>
  </w:num>
  <w:num w:numId="42" w16cid:durableId="210311950">
    <w:abstractNumId w:val="53"/>
  </w:num>
  <w:num w:numId="43" w16cid:durableId="1160344332">
    <w:abstractNumId w:val="21"/>
  </w:num>
  <w:num w:numId="44" w16cid:durableId="1764648465">
    <w:abstractNumId w:val="36"/>
  </w:num>
  <w:num w:numId="45" w16cid:durableId="1204294249">
    <w:abstractNumId w:val="29"/>
  </w:num>
  <w:num w:numId="46" w16cid:durableId="128982487">
    <w:abstractNumId w:val="3"/>
  </w:num>
  <w:num w:numId="47" w16cid:durableId="366683348">
    <w:abstractNumId w:val="12"/>
  </w:num>
  <w:num w:numId="48" w16cid:durableId="1541894058">
    <w:abstractNumId w:val="38"/>
  </w:num>
  <w:num w:numId="49" w16cid:durableId="236287670">
    <w:abstractNumId w:val="7"/>
  </w:num>
  <w:num w:numId="50" w16cid:durableId="996226265">
    <w:abstractNumId w:val="46"/>
  </w:num>
  <w:num w:numId="51" w16cid:durableId="739447138">
    <w:abstractNumId w:val="24"/>
  </w:num>
  <w:num w:numId="52" w16cid:durableId="1437218077">
    <w:abstractNumId w:val="52"/>
  </w:num>
  <w:num w:numId="53" w16cid:durableId="478425709">
    <w:abstractNumId w:val="34"/>
  </w:num>
  <w:num w:numId="54" w16cid:durableId="207993860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37"/>
    <w:rsid w:val="000128FE"/>
    <w:rsid w:val="00047183"/>
    <w:rsid w:val="000F6962"/>
    <w:rsid w:val="00131C29"/>
    <w:rsid w:val="001321E8"/>
    <w:rsid w:val="00135DAF"/>
    <w:rsid w:val="00172C0E"/>
    <w:rsid w:val="00196518"/>
    <w:rsid w:val="001A6839"/>
    <w:rsid w:val="001D45B4"/>
    <w:rsid w:val="00203229"/>
    <w:rsid w:val="00216586"/>
    <w:rsid w:val="00240370"/>
    <w:rsid w:val="00244AE4"/>
    <w:rsid w:val="002530FA"/>
    <w:rsid w:val="0027127A"/>
    <w:rsid w:val="002819C6"/>
    <w:rsid w:val="002D1907"/>
    <w:rsid w:val="002E3D5D"/>
    <w:rsid w:val="00310F31"/>
    <w:rsid w:val="003D2670"/>
    <w:rsid w:val="00475913"/>
    <w:rsid w:val="00482480"/>
    <w:rsid w:val="004A158F"/>
    <w:rsid w:val="004E624E"/>
    <w:rsid w:val="004F2FFA"/>
    <w:rsid w:val="004F623A"/>
    <w:rsid w:val="005256C8"/>
    <w:rsid w:val="00550E4C"/>
    <w:rsid w:val="00562CC5"/>
    <w:rsid w:val="00582F12"/>
    <w:rsid w:val="005A671D"/>
    <w:rsid w:val="005B1B82"/>
    <w:rsid w:val="00667DF4"/>
    <w:rsid w:val="00686FE2"/>
    <w:rsid w:val="00690848"/>
    <w:rsid w:val="006D1988"/>
    <w:rsid w:val="006F1BBA"/>
    <w:rsid w:val="006F36A3"/>
    <w:rsid w:val="00740520"/>
    <w:rsid w:val="007448CD"/>
    <w:rsid w:val="007640A7"/>
    <w:rsid w:val="00774837"/>
    <w:rsid w:val="00794EC7"/>
    <w:rsid w:val="007E55AD"/>
    <w:rsid w:val="00812DB1"/>
    <w:rsid w:val="00835CFF"/>
    <w:rsid w:val="008516F4"/>
    <w:rsid w:val="00870FA7"/>
    <w:rsid w:val="00896729"/>
    <w:rsid w:val="0095088E"/>
    <w:rsid w:val="009564AE"/>
    <w:rsid w:val="0097477A"/>
    <w:rsid w:val="009D063A"/>
    <w:rsid w:val="00A52743"/>
    <w:rsid w:val="00A8770B"/>
    <w:rsid w:val="00AC7F8E"/>
    <w:rsid w:val="00AD4B41"/>
    <w:rsid w:val="00AF6A0A"/>
    <w:rsid w:val="00B038E2"/>
    <w:rsid w:val="00B14C28"/>
    <w:rsid w:val="00B50AFD"/>
    <w:rsid w:val="00B54443"/>
    <w:rsid w:val="00B61095"/>
    <w:rsid w:val="00B81E00"/>
    <w:rsid w:val="00C246A0"/>
    <w:rsid w:val="00C5305A"/>
    <w:rsid w:val="00C5338D"/>
    <w:rsid w:val="00C53A64"/>
    <w:rsid w:val="00C60457"/>
    <w:rsid w:val="00CA4A88"/>
    <w:rsid w:val="00D277DA"/>
    <w:rsid w:val="00D40151"/>
    <w:rsid w:val="00D772E6"/>
    <w:rsid w:val="00DD7FF6"/>
    <w:rsid w:val="00DF4ADC"/>
    <w:rsid w:val="00E30B69"/>
    <w:rsid w:val="00E33E98"/>
    <w:rsid w:val="00EA54CF"/>
    <w:rsid w:val="00EC04B4"/>
    <w:rsid w:val="00F00FE3"/>
    <w:rsid w:val="00FD2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2824"/>
  <w15:chartTrackingRefBased/>
  <w15:docId w15:val="{872F437D-9692-5F4E-AFC4-9990403FA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4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4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837"/>
    <w:rPr>
      <w:rFonts w:eastAsiaTheme="majorEastAsia" w:cstheme="majorBidi"/>
      <w:color w:val="272727" w:themeColor="text1" w:themeTint="D8"/>
    </w:rPr>
  </w:style>
  <w:style w:type="paragraph" w:styleId="Title">
    <w:name w:val="Title"/>
    <w:basedOn w:val="Normal"/>
    <w:next w:val="Normal"/>
    <w:link w:val="TitleChar"/>
    <w:uiPriority w:val="10"/>
    <w:qFormat/>
    <w:rsid w:val="00774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837"/>
    <w:pPr>
      <w:spacing w:before="160"/>
      <w:jc w:val="center"/>
    </w:pPr>
    <w:rPr>
      <w:i/>
      <w:iCs/>
      <w:color w:val="404040" w:themeColor="text1" w:themeTint="BF"/>
    </w:rPr>
  </w:style>
  <w:style w:type="character" w:customStyle="1" w:styleId="QuoteChar">
    <w:name w:val="Quote Char"/>
    <w:basedOn w:val="DefaultParagraphFont"/>
    <w:link w:val="Quote"/>
    <w:uiPriority w:val="29"/>
    <w:rsid w:val="00774837"/>
    <w:rPr>
      <w:i/>
      <w:iCs/>
      <w:color w:val="404040" w:themeColor="text1" w:themeTint="BF"/>
    </w:rPr>
  </w:style>
  <w:style w:type="paragraph" w:styleId="ListParagraph">
    <w:name w:val="List Paragraph"/>
    <w:basedOn w:val="Normal"/>
    <w:uiPriority w:val="34"/>
    <w:qFormat/>
    <w:rsid w:val="00774837"/>
    <w:pPr>
      <w:ind w:left="720"/>
      <w:contextualSpacing/>
    </w:pPr>
  </w:style>
  <w:style w:type="character" w:styleId="IntenseEmphasis">
    <w:name w:val="Intense Emphasis"/>
    <w:basedOn w:val="DefaultParagraphFont"/>
    <w:uiPriority w:val="21"/>
    <w:qFormat/>
    <w:rsid w:val="00774837"/>
    <w:rPr>
      <w:i/>
      <w:iCs/>
      <w:color w:val="0F4761" w:themeColor="accent1" w:themeShade="BF"/>
    </w:rPr>
  </w:style>
  <w:style w:type="paragraph" w:styleId="IntenseQuote">
    <w:name w:val="Intense Quote"/>
    <w:basedOn w:val="Normal"/>
    <w:next w:val="Normal"/>
    <w:link w:val="IntenseQuoteChar"/>
    <w:uiPriority w:val="30"/>
    <w:qFormat/>
    <w:rsid w:val="00774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837"/>
    <w:rPr>
      <w:i/>
      <w:iCs/>
      <w:color w:val="0F4761" w:themeColor="accent1" w:themeShade="BF"/>
    </w:rPr>
  </w:style>
  <w:style w:type="character" w:styleId="IntenseReference">
    <w:name w:val="Intense Reference"/>
    <w:basedOn w:val="DefaultParagraphFont"/>
    <w:uiPriority w:val="32"/>
    <w:qFormat/>
    <w:rsid w:val="00774837"/>
    <w:rPr>
      <w:b/>
      <w:bCs/>
      <w:smallCaps/>
      <w:color w:val="0F4761" w:themeColor="accent1" w:themeShade="BF"/>
      <w:spacing w:val="5"/>
    </w:rPr>
  </w:style>
  <w:style w:type="character" w:styleId="Strong">
    <w:name w:val="Strong"/>
    <w:basedOn w:val="DefaultParagraphFont"/>
    <w:uiPriority w:val="22"/>
    <w:qFormat/>
    <w:rsid w:val="00774837"/>
    <w:rPr>
      <w:b/>
      <w:bCs/>
    </w:rPr>
  </w:style>
  <w:style w:type="paragraph" w:styleId="NormalWeb">
    <w:name w:val="Normal (Web)"/>
    <w:basedOn w:val="Normal"/>
    <w:uiPriority w:val="99"/>
    <w:unhideWhenUsed/>
    <w:rsid w:val="0077483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74837"/>
  </w:style>
  <w:style w:type="character" w:styleId="HTMLCode">
    <w:name w:val="HTML Code"/>
    <w:basedOn w:val="DefaultParagraphFont"/>
    <w:uiPriority w:val="99"/>
    <w:semiHidden/>
    <w:unhideWhenUsed/>
    <w:rsid w:val="0077483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4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74837"/>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774837"/>
  </w:style>
  <w:style w:type="character" w:customStyle="1" w:styleId="hljs-keyword">
    <w:name w:val="hljs-keyword"/>
    <w:basedOn w:val="DefaultParagraphFont"/>
    <w:rsid w:val="00774837"/>
  </w:style>
  <w:style w:type="character" w:customStyle="1" w:styleId="hljs-type">
    <w:name w:val="hljs-type"/>
    <w:basedOn w:val="DefaultParagraphFont"/>
    <w:rsid w:val="00774837"/>
  </w:style>
  <w:style w:type="character" w:customStyle="1" w:styleId="hljs-number">
    <w:name w:val="hljs-number"/>
    <w:basedOn w:val="DefaultParagraphFont"/>
    <w:rsid w:val="00774837"/>
  </w:style>
  <w:style w:type="character" w:customStyle="1" w:styleId="hljs-string">
    <w:name w:val="hljs-string"/>
    <w:basedOn w:val="DefaultParagraphFont"/>
    <w:rsid w:val="00774837"/>
  </w:style>
  <w:style w:type="character" w:customStyle="1" w:styleId="hljs-operator">
    <w:name w:val="hljs-operator"/>
    <w:basedOn w:val="DefaultParagraphFont"/>
    <w:rsid w:val="00774837"/>
  </w:style>
  <w:style w:type="character" w:customStyle="1" w:styleId="hljs-builtin">
    <w:name w:val="hljs-built_in"/>
    <w:basedOn w:val="DefaultParagraphFont"/>
    <w:rsid w:val="00774837"/>
  </w:style>
  <w:style w:type="table" w:styleId="TableGrid">
    <w:name w:val="Table Grid"/>
    <w:basedOn w:val="TableNormal"/>
    <w:uiPriority w:val="39"/>
    <w:rsid w:val="007E55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33E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32275">
      <w:bodyDiv w:val="1"/>
      <w:marLeft w:val="0"/>
      <w:marRight w:val="0"/>
      <w:marTop w:val="0"/>
      <w:marBottom w:val="0"/>
      <w:divBdr>
        <w:top w:val="none" w:sz="0" w:space="0" w:color="auto"/>
        <w:left w:val="none" w:sz="0" w:space="0" w:color="auto"/>
        <w:bottom w:val="none" w:sz="0" w:space="0" w:color="auto"/>
        <w:right w:val="none" w:sz="0" w:space="0" w:color="auto"/>
      </w:divBdr>
    </w:div>
    <w:div w:id="907230416">
      <w:bodyDiv w:val="1"/>
      <w:marLeft w:val="0"/>
      <w:marRight w:val="0"/>
      <w:marTop w:val="0"/>
      <w:marBottom w:val="0"/>
      <w:divBdr>
        <w:top w:val="none" w:sz="0" w:space="0" w:color="auto"/>
        <w:left w:val="none" w:sz="0" w:space="0" w:color="auto"/>
        <w:bottom w:val="none" w:sz="0" w:space="0" w:color="auto"/>
        <w:right w:val="none" w:sz="0" w:space="0" w:color="auto"/>
      </w:divBdr>
    </w:div>
    <w:div w:id="966087844">
      <w:bodyDiv w:val="1"/>
      <w:marLeft w:val="0"/>
      <w:marRight w:val="0"/>
      <w:marTop w:val="0"/>
      <w:marBottom w:val="0"/>
      <w:divBdr>
        <w:top w:val="none" w:sz="0" w:space="0" w:color="auto"/>
        <w:left w:val="none" w:sz="0" w:space="0" w:color="auto"/>
        <w:bottom w:val="none" w:sz="0" w:space="0" w:color="auto"/>
        <w:right w:val="none" w:sz="0" w:space="0" w:color="auto"/>
      </w:divBdr>
    </w:div>
    <w:div w:id="974066388">
      <w:bodyDiv w:val="1"/>
      <w:marLeft w:val="0"/>
      <w:marRight w:val="0"/>
      <w:marTop w:val="0"/>
      <w:marBottom w:val="0"/>
      <w:divBdr>
        <w:top w:val="none" w:sz="0" w:space="0" w:color="auto"/>
        <w:left w:val="none" w:sz="0" w:space="0" w:color="auto"/>
        <w:bottom w:val="none" w:sz="0" w:space="0" w:color="auto"/>
        <w:right w:val="none" w:sz="0" w:space="0" w:color="auto"/>
      </w:divBdr>
    </w:div>
    <w:div w:id="984160094">
      <w:bodyDiv w:val="1"/>
      <w:marLeft w:val="0"/>
      <w:marRight w:val="0"/>
      <w:marTop w:val="0"/>
      <w:marBottom w:val="0"/>
      <w:divBdr>
        <w:top w:val="none" w:sz="0" w:space="0" w:color="auto"/>
        <w:left w:val="none" w:sz="0" w:space="0" w:color="auto"/>
        <w:bottom w:val="none" w:sz="0" w:space="0" w:color="auto"/>
        <w:right w:val="none" w:sz="0" w:space="0" w:color="auto"/>
      </w:divBdr>
    </w:div>
    <w:div w:id="1115757941">
      <w:bodyDiv w:val="1"/>
      <w:marLeft w:val="0"/>
      <w:marRight w:val="0"/>
      <w:marTop w:val="0"/>
      <w:marBottom w:val="0"/>
      <w:divBdr>
        <w:top w:val="none" w:sz="0" w:space="0" w:color="auto"/>
        <w:left w:val="none" w:sz="0" w:space="0" w:color="auto"/>
        <w:bottom w:val="none" w:sz="0" w:space="0" w:color="auto"/>
        <w:right w:val="none" w:sz="0" w:space="0" w:color="auto"/>
      </w:divBdr>
    </w:div>
    <w:div w:id="1174491801">
      <w:bodyDiv w:val="1"/>
      <w:marLeft w:val="0"/>
      <w:marRight w:val="0"/>
      <w:marTop w:val="0"/>
      <w:marBottom w:val="0"/>
      <w:divBdr>
        <w:top w:val="none" w:sz="0" w:space="0" w:color="auto"/>
        <w:left w:val="none" w:sz="0" w:space="0" w:color="auto"/>
        <w:bottom w:val="none" w:sz="0" w:space="0" w:color="auto"/>
        <w:right w:val="none" w:sz="0" w:space="0" w:color="auto"/>
      </w:divBdr>
    </w:div>
    <w:div w:id="1175533652">
      <w:bodyDiv w:val="1"/>
      <w:marLeft w:val="0"/>
      <w:marRight w:val="0"/>
      <w:marTop w:val="0"/>
      <w:marBottom w:val="0"/>
      <w:divBdr>
        <w:top w:val="none" w:sz="0" w:space="0" w:color="auto"/>
        <w:left w:val="none" w:sz="0" w:space="0" w:color="auto"/>
        <w:bottom w:val="none" w:sz="0" w:space="0" w:color="auto"/>
        <w:right w:val="none" w:sz="0" w:space="0" w:color="auto"/>
      </w:divBdr>
    </w:div>
    <w:div w:id="1189025723">
      <w:bodyDiv w:val="1"/>
      <w:marLeft w:val="0"/>
      <w:marRight w:val="0"/>
      <w:marTop w:val="0"/>
      <w:marBottom w:val="0"/>
      <w:divBdr>
        <w:top w:val="none" w:sz="0" w:space="0" w:color="auto"/>
        <w:left w:val="none" w:sz="0" w:space="0" w:color="auto"/>
        <w:bottom w:val="none" w:sz="0" w:space="0" w:color="auto"/>
        <w:right w:val="none" w:sz="0" w:space="0" w:color="auto"/>
      </w:divBdr>
    </w:div>
    <w:div w:id="1235892301">
      <w:bodyDiv w:val="1"/>
      <w:marLeft w:val="0"/>
      <w:marRight w:val="0"/>
      <w:marTop w:val="0"/>
      <w:marBottom w:val="0"/>
      <w:divBdr>
        <w:top w:val="none" w:sz="0" w:space="0" w:color="auto"/>
        <w:left w:val="none" w:sz="0" w:space="0" w:color="auto"/>
        <w:bottom w:val="none" w:sz="0" w:space="0" w:color="auto"/>
        <w:right w:val="none" w:sz="0" w:space="0" w:color="auto"/>
      </w:divBdr>
    </w:div>
    <w:div w:id="1581716268">
      <w:bodyDiv w:val="1"/>
      <w:marLeft w:val="0"/>
      <w:marRight w:val="0"/>
      <w:marTop w:val="0"/>
      <w:marBottom w:val="0"/>
      <w:divBdr>
        <w:top w:val="none" w:sz="0" w:space="0" w:color="auto"/>
        <w:left w:val="none" w:sz="0" w:space="0" w:color="auto"/>
        <w:bottom w:val="none" w:sz="0" w:space="0" w:color="auto"/>
        <w:right w:val="none" w:sz="0" w:space="0" w:color="auto"/>
      </w:divBdr>
    </w:div>
    <w:div w:id="1710641229">
      <w:bodyDiv w:val="1"/>
      <w:marLeft w:val="0"/>
      <w:marRight w:val="0"/>
      <w:marTop w:val="0"/>
      <w:marBottom w:val="0"/>
      <w:divBdr>
        <w:top w:val="none" w:sz="0" w:space="0" w:color="auto"/>
        <w:left w:val="none" w:sz="0" w:space="0" w:color="auto"/>
        <w:bottom w:val="none" w:sz="0" w:space="0" w:color="auto"/>
        <w:right w:val="none" w:sz="0" w:space="0" w:color="auto"/>
      </w:divBdr>
      <w:divsChild>
        <w:div w:id="546062944">
          <w:marLeft w:val="0"/>
          <w:marRight w:val="0"/>
          <w:marTop w:val="0"/>
          <w:marBottom w:val="0"/>
          <w:divBdr>
            <w:top w:val="none" w:sz="0" w:space="0" w:color="auto"/>
            <w:left w:val="none" w:sz="0" w:space="0" w:color="auto"/>
            <w:bottom w:val="none" w:sz="0" w:space="0" w:color="auto"/>
            <w:right w:val="none" w:sz="0" w:space="0" w:color="auto"/>
          </w:divBdr>
          <w:divsChild>
            <w:div w:id="2104837708">
              <w:marLeft w:val="0"/>
              <w:marRight w:val="0"/>
              <w:marTop w:val="0"/>
              <w:marBottom w:val="0"/>
              <w:divBdr>
                <w:top w:val="none" w:sz="0" w:space="0" w:color="auto"/>
                <w:left w:val="none" w:sz="0" w:space="0" w:color="auto"/>
                <w:bottom w:val="none" w:sz="0" w:space="0" w:color="auto"/>
                <w:right w:val="none" w:sz="0" w:space="0" w:color="auto"/>
              </w:divBdr>
            </w:div>
            <w:div w:id="1334139864">
              <w:marLeft w:val="0"/>
              <w:marRight w:val="0"/>
              <w:marTop w:val="0"/>
              <w:marBottom w:val="0"/>
              <w:divBdr>
                <w:top w:val="none" w:sz="0" w:space="0" w:color="auto"/>
                <w:left w:val="none" w:sz="0" w:space="0" w:color="auto"/>
                <w:bottom w:val="none" w:sz="0" w:space="0" w:color="auto"/>
                <w:right w:val="none" w:sz="0" w:space="0" w:color="auto"/>
              </w:divBdr>
              <w:divsChild>
                <w:div w:id="1263294535">
                  <w:marLeft w:val="0"/>
                  <w:marRight w:val="0"/>
                  <w:marTop w:val="0"/>
                  <w:marBottom w:val="0"/>
                  <w:divBdr>
                    <w:top w:val="none" w:sz="0" w:space="0" w:color="auto"/>
                    <w:left w:val="none" w:sz="0" w:space="0" w:color="auto"/>
                    <w:bottom w:val="none" w:sz="0" w:space="0" w:color="auto"/>
                    <w:right w:val="none" w:sz="0" w:space="0" w:color="auto"/>
                  </w:divBdr>
                  <w:divsChild>
                    <w:div w:id="17900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5649">
              <w:marLeft w:val="0"/>
              <w:marRight w:val="0"/>
              <w:marTop w:val="0"/>
              <w:marBottom w:val="0"/>
              <w:divBdr>
                <w:top w:val="none" w:sz="0" w:space="0" w:color="auto"/>
                <w:left w:val="none" w:sz="0" w:space="0" w:color="auto"/>
                <w:bottom w:val="none" w:sz="0" w:space="0" w:color="auto"/>
                <w:right w:val="none" w:sz="0" w:space="0" w:color="auto"/>
              </w:divBdr>
            </w:div>
          </w:divsChild>
        </w:div>
        <w:div w:id="1207836757">
          <w:marLeft w:val="0"/>
          <w:marRight w:val="0"/>
          <w:marTop w:val="0"/>
          <w:marBottom w:val="0"/>
          <w:divBdr>
            <w:top w:val="none" w:sz="0" w:space="0" w:color="auto"/>
            <w:left w:val="none" w:sz="0" w:space="0" w:color="auto"/>
            <w:bottom w:val="none" w:sz="0" w:space="0" w:color="auto"/>
            <w:right w:val="none" w:sz="0" w:space="0" w:color="auto"/>
          </w:divBdr>
          <w:divsChild>
            <w:div w:id="186065768">
              <w:marLeft w:val="0"/>
              <w:marRight w:val="0"/>
              <w:marTop w:val="0"/>
              <w:marBottom w:val="0"/>
              <w:divBdr>
                <w:top w:val="none" w:sz="0" w:space="0" w:color="auto"/>
                <w:left w:val="none" w:sz="0" w:space="0" w:color="auto"/>
                <w:bottom w:val="none" w:sz="0" w:space="0" w:color="auto"/>
                <w:right w:val="none" w:sz="0" w:space="0" w:color="auto"/>
              </w:divBdr>
            </w:div>
            <w:div w:id="1095172760">
              <w:marLeft w:val="0"/>
              <w:marRight w:val="0"/>
              <w:marTop w:val="0"/>
              <w:marBottom w:val="0"/>
              <w:divBdr>
                <w:top w:val="none" w:sz="0" w:space="0" w:color="auto"/>
                <w:left w:val="none" w:sz="0" w:space="0" w:color="auto"/>
                <w:bottom w:val="none" w:sz="0" w:space="0" w:color="auto"/>
                <w:right w:val="none" w:sz="0" w:space="0" w:color="auto"/>
              </w:divBdr>
              <w:divsChild>
                <w:div w:id="644815599">
                  <w:marLeft w:val="0"/>
                  <w:marRight w:val="0"/>
                  <w:marTop w:val="0"/>
                  <w:marBottom w:val="0"/>
                  <w:divBdr>
                    <w:top w:val="none" w:sz="0" w:space="0" w:color="auto"/>
                    <w:left w:val="none" w:sz="0" w:space="0" w:color="auto"/>
                    <w:bottom w:val="none" w:sz="0" w:space="0" w:color="auto"/>
                    <w:right w:val="none" w:sz="0" w:space="0" w:color="auto"/>
                  </w:divBdr>
                  <w:divsChild>
                    <w:div w:id="17227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6614">
              <w:marLeft w:val="0"/>
              <w:marRight w:val="0"/>
              <w:marTop w:val="0"/>
              <w:marBottom w:val="0"/>
              <w:divBdr>
                <w:top w:val="none" w:sz="0" w:space="0" w:color="auto"/>
                <w:left w:val="none" w:sz="0" w:space="0" w:color="auto"/>
                <w:bottom w:val="none" w:sz="0" w:space="0" w:color="auto"/>
                <w:right w:val="none" w:sz="0" w:space="0" w:color="auto"/>
              </w:divBdr>
            </w:div>
          </w:divsChild>
        </w:div>
        <w:div w:id="1593315188">
          <w:marLeft w:val="0"/>
          <w:marRight w:val="0"/>
          <w:marTop w:val="0"/>
          <w:marBottom w:val="0"/>
          <w:divBdr>
            <w:top w:val="none" w:sz="0" w:space="0" w:color="auto"/>
            <w:left w:val="none" w:sz="0" w:space="0" w:color="auto"/>
            <w:bottom w:val="none" w:sz="0" w:space="0" w:color="auto"/>
            <w:right w:val="none" w:sz="0" w:space="0" w:color="auto"/>
          </w:divBdr>
          <w:divsChild>
            <w:div w:id="1552619916">
              <w:marLeft w:val="0"/>
              <w:marRight w:val="0"/>
              <w:marTop w:val="0"/>
              <w:marBottom w:val="0"/>
              <w:divBdr>
                <w:top w:val="none" w:sz="0" w:space="0" w:color="auto"/>
                <w:left w:val="none" w:sz="0" w:space="0" w:color="auto"/>
                <w:bottom w:val="none" w:sz="0" w:space="0" w:color="auto"/>
                <w:right w:val="none" w:sz="0" w:space="0" w:color="auto"/>
              </w:divBdr>
            </w:div>
            <w:div w:id="664356934">
              <w:marLeft w:val="0"/>
              <w:marRight w:val="0"/>
              <w:marTop w:val="0"/>
              <w:marBottom w:val="0"/>
              <w:divBdr>
                <w:top w:val="none" w:sz="0" w:space="0" w:color="auto"/>
                <w:left w:val="none" w:sz="0" w:space="0" w:color="auto"/>
                <w:bottom w:val="none" w:sz="0" w:space="0" w:color="auto"/>
                <w:right w:val="none" w:sz="0" w:space="0" w:color="auto"/>
              </w:divBdr>
              <w:divsChild>
                <w:div w:id="1904096230">
                  <w:marLeft w:val="0"/>
                  <w:marRight w:val="0"/>
                  <w:marTop w:val="0"/>
                  <w:marBottom w:val="0"/>
                  <w:divBdr>
                    <w:top w:val="none" w:sz="0" w:space="0" w:color="auto"/>
                    <w:left w:val="none" w:sz="0" w:space="0" w:color="auto"/>
                    <w:bottom w:val="none" w:sz="0" w:space="0" w:color="auto"/>
                    <w:right w:val="none" w:sz="0" w:space="0" w:color="auto"/>
                  </w:divBdr>
                  <w:divsChild>
                    <w:div w:id="7370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5751">
              <w:marLeft w:val="0"/>
              <w:marRight w:val="0"/>
              <w:marTop w:val="0"/>
              <w:marBottom w:val="0"/>
              <w:divBdr>
                <w:top w:val="none" w:sz="0" w:space="0" w:color="auto"/>
                <w:left w:val="none" w:sz="0" w:space="0" w:color="auto"/>
                <w:bottom w:val="none" w:sz="0" w:space="0" w:color="auto"/>
                <w:right w:val="none" w:sz="0" w:space="0" w:color="auto"/>
              </w:divBdr>
            </w:div>
          </w:divsChild>
        </w:div>
        <w:div w:id="1305115841">
          <w:marLeft w:val="0"/>
          <w:marRight w:val="0"/>
          <w:marTop w:val="0"/>
          <w:marBottom w:val="0"/>
          <w:divBdr>
            <w:top w:val="none" w:sz="0" w:space="0" w:color="auto"/>
            <w:left w:val="none" w:sz="0" w:space="0" w:color="auto"/>
            <w:bottom w:val="none" w:sz="0" w:space="0" w:color="auto"/>
            <w:right w:val="none" w:sz="0" w:space="0" w:color="auto"/>
          </w:divBdr>
          <w:divsChild>
            <w:div w:id="1330519718">
              <w:marLeft w:val="0"/>
              <w:marRight w:val="0"/>
              <w:marTop w:val="0"/>
              <w:marBottom w:val="0"/>
              <w:divBdr>
                <w:top w:val="none" w:sz="0" w:space="0" w:color="auto"/>
                <w:left w:val="none" w:sz="0" w:space="0" w:color="auto"/>
                <w:bottom w:val="none" w:sz="0" w:space="0" w:color="auto"/>
                <w:right w:val="none" w:sz="0" w:space="0" w:color="auto"/>
              </w:divBdr>
            </w:div>
            <w:div w:id="311913440">
              <w:marLeft w:val="0"/>
              <w:marRight w:val="0"/>
              <w:marTop w:val="0"/>
              <w:marBottom w:val="0"/>
              <w:divBdr>
                <w:top w:val="none" w:sz="0" w:space="0" w:color="auto"/>
                <w:left w:val="none" w:sz="0" w:space="0" w:color="auto"/>
                <w:bottom w:val="none" w:sz="0" w:space="0" w:color="auto"/>
                <w:right w:val="none" w:sz="0" w:space="0" w:color="auto"/>
              </w:divBdr>
              <w:divsChild>
                <w:div w:id="1608848362">
                  <w:marLeft w:val="0"/>
                  <w:marRight w:val="0"/>
                  <w:marTop w:val="0"/>
                  <w:marBottom w:val="0"/>
                  <w:divBdr>
                    <w:top w:val="none" w:sz="0" w:space="0" w:color="auto"/>
                    <w:left w:val="none" w:sz="0" w:space="0" w:color="auto"/>
                    <w:bottom w:val="none" w:sz="0" w:space="0" w:color="auto"/>
                    <w:right w:val="none" w:sz="0" w:space="0" w:color="auto"/>
                  </w:divBdr>
                  <w:divsChild>
                    <w:div w:id="11931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57477">
              <w:marLeft w:val="0"/>
              <w:marRight w:val="0"/>
              <w:marTop w:val="0"/>
              <w:marBottom w:val="0"/>
              <w:divBdr>
                <w:top w:val="none" w:sz="0" w:space="0" w:color="auto"/>
                <w:left w:val="none" w:sz="0" w:space="0" w:color="auto"/>
                <w:bottom w:val="none" w:sz="0" w:space="0" w:color="auto"/>
                <w:right w:val="none" w:sz="0" w:space="0" w:color="auto"/>
              </w:divBdr>
            </w:div>
          </w:divsChild>
        </w:div>
        <w:div w:id="1430152786">
          <w:marLeft w:val="0"/>
          <w:marRight w:val="0"/>
          <w:marTop w:val="0"/>
          <w:marBottom w:val="0"/>
          <w:divBdr>
            <w:top w:val="none" w:sz="0" w:space="0" w:color="auto"/>
            <w:left w:val="none" w:sz="0" w:space="0" w:color="auto"/>
            <w:bottom w:val="none" w:sz="0" w:space="0" w:color="auto"/>
            <w:right w:val="none" w:sz="0" w:space="0" w:color="auto"/>
          </w:divBdr>
          <w:divsChild>
            <w:div w:id="765349981">
              <w:marLeft w:val="0"/>
              <w:marRight w:val="0"/>
              <w:marTop w:val="0"/>
              <w:marBottom w:val="0"/>
              <w:divBdr>
                <w:top w:val="none" w:sz="0" w:space="0" w:color="auto"/>
                <w:left w:val="none" w:sz="0" w:space="0" w:color="auto"/>
                <w:bottom w:val="none" w:sz="0" w:space="0" w:color="auto"/>
                <w:right w:val="none" w:sz="0" w:space="0" w:color="auto"/>
              </w:divBdr>
            </w:div>
            <w:div w:id="503739713">
              <w:marLeft w:val="0"/>
              <w:marRight w:val="0"/>
              <w:marTop w:val="0"/>
              <w:marBottom w:val="0"/>
              <w:divBdr>
                <w:top w:val="none" w:sz="0" w:space="0" w:color="auto"/>
                <w:left w:val="none" w:sz="0" w:space="0" w:color="auto"/>
                <w:bottom w:val="none" w:sz="0" w:space="0" w:color="auto"/>
                <w:right w:val="none" w:sz="0" w:space="0" w:color="auto"/>
              </w:divBdr>
              <w:divsChild>
                <w:div w:id="766577362">
                  <w:marLeft w:val="0"/>
                  <w:marRight w:val="0"/>
                  <w:marTop w:val="0"/>
                  <w:marBottom w:val="0"/>
                  <w:divBdr>
                    <w:top w:val="none" w:sz="0" w:space="0" w:color="auto"/>
                    <w:left w:val="none" w:sz="0" w:space="0" w:color="auto"/>
                    <w:bottom w:val="none" w:sz="0" w:space="0" w:color="auto"/>
                    <w:right w:val="none" w:sz="0" w:space="0" w:color="auto"/>
                  </w:divBdr>
                  <w:divsChild>
                    <w:div w:id="4096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59171">
              <w:marLeft w:val="0"/>
              <w:marRight w:val="0"/>
              <w:marTop w:val="0"/>
              <w:marBottom w:val="0"/>
              <w:divBdr>
                <w:top w:val="none" w:sz="0" w:space="0" w:color="auto"/>
                <w:left w:val="none" w:sz="0" w:space="0" w:color="auto"/>
                <w:bottom w:val="none" w:sz="0" w:space="0" w:color="auto"/>
                <w:right w:val="none" w:sz="0" w:space="0" w:color="auto"/>
              </w:divBdr>
            </w:div>
          </w:divsChild>
        </w:div>
        <w:div w:id="1233351824">
          <w:marLeft w:val="0"/>
          <w:marRight w:val="0"/>
          <w:marTop w:val="0"/>
          <w:marBottom w:val="0"/>
          <w:divBdr>
            <w:top w:val="none" w:sz="0" w:space="0" w:color="auto"/>
            <w:left w:val="none" w:sz="0" w:space="0" w:color="auto"/>
            <w:bottom w:val="none" w:sz="0" w:space="0" w:color="auto"/>
            <w:right w:val="none" w:sz="0" w:space="0" w:color="auto"/>
          </w:divBdr>
          <w:divsChild>
            <w:div w:id="660431888">
              <w:marLeft w:val="0"/>
              <w:marRight w:val="0"/>
              <w:marTop w:val="0"/>
              <w:marBottom w:val="0"/>
              <w:divBdr>
                <w:top w:val="none" w:sz="0" w:space="0" w:color="auto"/>
                <w:left w:val="none" w:sz="0" w:space="0" w:color="auto"/>
                <w:bottom w:val="none" w:sz="0" w:space="0" w:color="auto"/>
                <w:right w:val="none" w:sz="0" w:space="0" w:color="auto"/>
              </w:divBdr>
            </w:div>
            <w:div w:id="225342564">
              <w:marLeft w:val="0"/>
              <w:marRight w:val="0"/>
              <w:marTop w:val="0"/>
              <w:marBottom w:val="0"/>
              <w:divBdr>
                <w:top w:val="none" w:sz="0" w:space="0" w:color="auto"/>
                <w:left w:val="none" w:sz="0" w:space="0" w:color="auto"/>
                <w:bottom w:val="none" w:sz="0" w:space="0" w:color="auto"/>
                <w:right w:val="none" w:sz="0" w:space="0" w:color="auto"/>
              </w:divBdr>
              <w:divsChild>
                <w:div w:id="1787770223">
                  <w:marLeft w:val="0"/>
                  <w:marRight w:val="0"/>
                  <w:marTop w:val="0"/>
                  <w:marBottom w:val="0"/>
                  <w:divBdr>
                    <w:top w:val="none" w:sz="0" w:space="0" w:color="auto"/>
                    <w:left w:val="none" w:sz="0" w:space="0" w:color="auto"/>
                    <w:bottom w:val="none" w:sz="0" w:space="0" w:color="auto"/>
                    <w:right w:val="none" w:sz="0" w:space="0" w:color="auto"/>
                  </w:divBdr>
                  <w:divsChild>
                    <w:div w:id="14919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72362">
      <w:bodyDiv w:val="1"/>
      <w:marLeft w:val="0"/>
      <w:marRight w:val="0"/>
      <w:marTop w:val="0"/>
      <w:marBottom w:val="0"/>
      <w:divBdr>
        <w:top w:val="none" w:sz="0" w:space="0" w:color="auto"/>
        <w:left w:val="none" w:sz="0" w:space="0" w:color="auto"/>
        <w:bottom w:val="none" w:sz="0" w:space="0" w:color="auto"/>
        <w:right w:val="none" w:sz="0" w:space="0" w:color="auto"/>
      </w:divBdr>
    </w:div>
    <w:div w:id="2016610662">
      <w:bodyDiv w:val="1"/>
      <w:marLeft w:val="0"/>
      <w:marRight w:val="0"/>
      <w:marTop w:val="0"/>
      <w:marBottom w:val="0"/>
      <w:divBdr>
        <w:top w:val="none" w:sz="0" w:space="0" w:color="auto"/>
        <w:left w:val="none" w:sz="0" w:space="0" w:color="auto"/>
        <w:bottom w:val="none" w:sz="0" w:space="0" w:color="auto"/>
        <w:right w:val="none" w:sz="0" w:space="0" w:color="auto"/>
      </w:divBdr>
    </w:div>
    <w:div w:id="2041583725">
      <w:bodyDiv w:val="1"/>
      <w:marLeft w:val="0"/>
      <w:marRight w:val="0"/>
      <w:marTop w:val="0"/>
      <w:marBottom w:val="0"/>
      <w:divBdr>
        <w:top w:val="none" w:sz="0" w:space="0" w:color="auto"/>
        <w:left w:val="none" w:sz="0" w:space="0" w:color="auto"/>
        <w:bottom w:val="none" w:sz="0" w:space="0" w:color="auto"/>
        <w:right w:val="none" w:sz="0" w:space="0" w:color="auto"/>
      </w:divBdr>
    </w:div>
    <w:div w:id="2079938607">
      <w:bodyDiv w:val="1"/>
      <w:marLeft w:val="0"/>
      <w:marRight w:val="0"/>
      <w:marTop w:val="0"/>
      <w:marBottom w:val="0"/>
      <w:divBdr>
        <w:top w:val="none" w:sz="0" w:space="0" w:color="auto"/>
        <w:left w:val="none" w:sz="0" w:space="0" w:color="auto"/>
        <w:bottom w:val="none" w:sz="0" w:space="0" w:color="auto"/>
        <w:right w:val="none" w:sz="0" w:space="0" w:color="auto"/>
      </w:divBdr>
    </w:div>
    <w:div w:id="2111119891">
      <w:bodyDiv w:val="1"/>
      <w:marLeft w:val="0"/>
      <w:marRight w:val="0"/>
      <w:marTop w:val="0"/>
      <w:marBottom w:val="0"/>
      <w:divBdr>
        <w:top w:val="none" w:sz="0" w:space="0" w:color="auto"/>
        <w:left w:val="none" w:sz="0" w:space="0" w:color="auto"/>
        <w:bottom w:val="none" w:sz="0" w:space="0" w:color="auto"/>
        <w:right w:val="none" w:sz="0" w:space="0" w:color="auto"/>
      </w:divBdr>
    </w:div>
    <w:div w:id="212129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3</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43</cp:revision>
  <dcterms:created xsi:type="dcterms:W3CDTF">2025-06-03T09:05:00Z</dcterms:created>
  <dcterms:modified xsi:type="dcterms:W3CDTF">2025-07-16T10:00:00Z</dcterms:modified>
</cp:coreProperties>
</file>