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スパンキング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桃を叩く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■時間制限：30秒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■ステージ制（BOSS）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・スタンダードな桃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・黒い桃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・黄金桃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・双子桃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・忍者桃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■アイテム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・釘バット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・モーニングスター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・ハンガー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・竹刀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・布団叩き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・ビール瓶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■演出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・叩く音が出る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・声が出る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・桃汁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■結果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・実績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・ランキング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■その他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・ポイント貯めてロック解除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・叩いたら赤くなる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・叩いたら大きなる/震える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・右利き用左利き用でゲージの位置が変更可能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■画面遷移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・タイトル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・アイテム選択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・スコア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・ゲームオーバー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・クリア画面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・コンティニュー画面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・ステージ選択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・モード選択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app_スパンキング.docx</dc:title>
</cp:coreProperties>
</file>