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0A22E"/>
          <w:sz w:val="46"/>
        </w:rPr>
        <w:t>Guía de preparación para una sesión Voice/Live</w:t>
      </w:r>
    </w:p>
    <w:p>
      <w:pPr>
        <w:jc w:val="center"/>
      </w:pPr>
      <w:r>
        <w:rPr>
          <w:i/>
        </w:rPr>
        <w:t>Preparación, conducción, validación y cierre supervisado</w:t>
      </w:r>
    </w:p>
    <w:p>
      <w:pPr>
        <w:jc w:val="center"/>
      </w:pPr>
      <w:r>
        <w:rPr>
          <w:b/>
        </w:rPr>
        <w:t>ZYRON AI LAB · Revisión 26 de julio de 2026</w:t>
      </w:r>
    </w:p>
    <w:p>
      <w:pPr>
        <w:pStyle w:val="Heading1"/>
      </w:pPr>
      <w:r>
        <w:t>Propósito</w:t>
      </w:r>
    </w:p>
    <w:p>
      <w:r>
        <w:t>Preparar una sesión responsable de ChatGPT Voice. Live es una opción dentro de Voice; su disponibilidad y funciones dependen del plan, la cuenta, la región, la aplicación y la configuración.</w:t>
      </w:r>
    </w:p>
    <w:p>
      <w:pPr>
        <w:pStyle w:val="Heading1"/>
      </w:pPr>
      <w:r>
        <w:t>Antes de comenzar</w:t>
      </w:r>
    </w:p>
    <w:p>
      <w:pPr>
        <w:pStyle w:val="ListBullet"/>
      </w:pPr>
      <w:r>
        <w:t>Objetivo y criterio de éxito definidos.</w:t>
      </w:r>
    </w:p>
    <w:p>
      <w:pPr>
        <w:pStyle w:val="ListBullet"/>
      </w:pPr>
      <w:r>
        <w:t>Dispositivo cargado, red estable, micrófono probado y salida de audio adecuada.</w:t>
      </w:r>
    </w:p>
    <w:p>
      <w:pPr>
        <w:pStyle w:val="ListBullet"/>
      </w:pPr>
      <w:r>
        <w:t>Permisos mínimos y consentimiento de terceros confirmados.</w:t>
      </w:r>
    </w:p>
    <w:p>
      <w:pPr>
        <w:pStyle w:val="ListBullet"/>
      </w:pPr>
      <w:r>
        <w:t>Información confidencial retirada o protegida.</w:t>
      </w:r>
    </w:p>
    <w:p>
      <w:pPr>
        <w:pStyle w:val="ListBullet"/>
      </w:pPr>
      <w:r>
        <w:t>Opción de Voice verificada en la cuenta real.</w:t>
      </w:r>
    </w:p>
    <w:p>
      <w:pPr>
        <w:pStyle w:val="Heading1"/>
      </w:pPr>
      <w:r>
        <w:t>Tutorial de doce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304"/>
            <w:shd w:fill="0B3F75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6768"/>
            <w:shd w:fill="0B3F75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1. Definir el objetivo</w:t>
            </w:r>
          </w:p>
        </w:tc>
        <w:tc>
          <w:tcPr>
            <w:tcW w:type="dxa" w:w="6768"/>
            <w:shd w:fill="EEF3F8"/>
          </w:tcPr>
          <w:p>
            <w:r>
              <w:t>Escriba qué resultado necesita y cómo comprobará que la sesión fue útil.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2. Verificar disponibilidad</w:t>
            </w:r>
          </w:p>
        </w:tc>
        <w:tc>
          <w:tcPr>
            <w:tcW w:type="dxa" w:w="6768"/>
            <w:shd w:fill="FFFFFF"/>
          </w:tcPr>
          <w:p>
            <w:r>
              <w:t>Confirme plan, región, aplicación, cuenta y opciones visibles en Configuración &gt; Voice.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3. Elegir la opción</w:t>
            </w:r>
          </w:p>
        </w:tc>
        <w:tc>
          <w:tcPr>
            <w:tcW w:type="dxa" w:w="6768"/>
            <w:shd w:fill="EEF3F8"/>
          </w:tcPr>
          <w:p>
            <w:r>
              <w:t>Use Live para diálogo natural, Advanced para funciones móviles compatibles o Standard para turnos.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4. Preparar el entorno</w:t>
            </w:r>
          </w:p>
        </w:tc>
        <w:tc>
          <w:tcPr>
            <w:tcW w:type="dxa" w:w="6768"/>
            <w:shd w:fill="FFFFFF"/>
          </w:tcPr>
          <w:p>
            <w:r>
              <w:t>Busque un lugar silencioso, use auriculares cuando convenga y estabilice la conexión.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5. Revisar permisos</w:t>
            </w:r>
          </w:p>
        </w:tc>
        <w:tc>
          <w:tcPr>
            <w:tcW w:type="dxa" w:w="6768"/>
            <w:shd w:fill="EEF3F8"/>
          </w:tcPr>
          <w:p>
            <w:r>
              <w:t>Autorice solo micrófono y, si corresponde, cámara o pantalla durante el tiempo necesario.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6. Proteger información</w:t>
            </w:r>
          </w:p>
        </w:tc>
        <w:tc>
          <w:tcPr>
            <w:tcW w:type="dxa" w:w="6768"/>
            <w:shd w:fill="FFFFFF"/>
          </w:tcPr>
          <w:p>
            <w:r>
              <w:t>Retire datos confidenciales, notificaciones y ventanas ajenas; obtenga consentimiento de terceros.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7. Dar contexto</w:t>
            </w:r>
          </w:p>
        </w:tc>
        <w:tc>
          <w:tcPr>
            <w:tcW w:type="dxa" w:w="6768"/>
            <w:shd w:fill="EEF3F8"/>
          </w:tcPr>
          <w:p>
            <w:r>
              <w:t>Indique propósito, audiencia, límites, idioma y formato de la respuesta.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8. Conversar por bloques</w:t>
            </w:r>
          </w:p>
        </w:tc>
        <w:tc>
          <w:tcPr>
            <w:tcW w:type="dxa" w:w="6768"/>
            <w:shd w:fill="FFFFFF"/>
          </w:tcPr>
          <w:p>
            <w:r>
              <w:t>Hable con frases claras, pause y corrija de inmediato cualquier interpretación errónea.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9. Interrumpir con intención</w:t>
            </w:r>
          </w:p>
        </w:tc>
        <w:tc>
          <w:tcPr>
            <w:tcW w:type="dxa" w:w="6768"/>
            <w:shd w:fill="EEF3F8"/>
          </w:tcPr>
          <w:p>
            <w:r>
              <w:t>Detenga o redirija la respuesta cuando se aparte del objetivo; el ruido puede provocar interrupciones.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10. Validar</w:t>
            </w:r>
          </w:p>
        </w:tc>
        <w:tc>
          <w:tcPr>
            <w:tcW w:type="dxa" w:w="6768"/>
            <w:shd w:fill="FFFFFF"/>
          </w:tcPr>
          <w:p>
            <w:r>
              <w:t>Pida un resumen, contraste datos importantes con fuentes y no trate la transcripción como acta literal.</w:t>
            </w:r>
          </w:p>
        </w:tc>
      </w:tr>
      <w:tr>
        <w:trPr>
          <w:cantSplit/>
        </w:trPr>
        <w:tc>
          <w:tcPr>
            <w:tcW w:type="dxa" w:w="2304"/>
            <w:shd w:fill="EEF3F8"/>
          </w:tcPr>
          <w:p>
            <w:r>
              <w:t>11. Cerrar</w:t>
            </w:r>
          </w:p>
        </w:tc>
        <w:tc>
          <w:tcPr>
            <w:tcW w:type="dxa" w:w="6768"/>
            <w:shd w:fill="EEF3F8"/>
          </w:tcPr>
          <w:p>
            <w:r>
              <w:t>Solicite conclusiones, próximos pasos y asuntos sin resolver; detenga micrófono, cámara o pantalla.</w:t>
            </w:r>
          </w:p>
        </w:tc>
      </w:tr>
      <w:tr>
        <w:trPr>
          <w:cantSplit/>
        </w:trPr>
        <w:tc>
          <w:tcPr>
            <w:tcW w:type="dxa" w:w="2304"/>
            <w:shd w:fill="FFFFFF"/>
          </w:tcPr>
          <w:p>
            <w:r>
              <w:t>12. Registrar</w:t>
            </w:r>
          </w:p>
        </w:tc>
        <w:tc>
          <w:tcPr>
            <w:tcW w:type="dxa" w:w="6768"/>
            <w:shd w:fill="FFFFFF"/>
          </w:tcPr>
          <w:p>
            <w:r>
              <w:t>Revise historial y transcripción; documente resultado, incidencias, decisiones y eliminación necesaria.</w:t>
            </w:r>
          </w:p>
        </w:tc>
      </w:tr>
    </w:tbl>
    <w:p>
      <w:pPr>
        <w:pStyle w:val="Heading1"/>
      </w:pPr>
      <w:r>
        <w:t>Durante la sesión</w:t>
      </w:r>
    </w:p>
    <w:p>
      <w:pPr>
        <w:pStyle w:val="ListBullet"/>
      </w:pPr>
      <w:r>
        <w:t>Mantenga supervisión humana y confirme fechas, nombres, cifras y decisiones.</w:t>
      </w:r>
    </w:p>
    <w:p>
      <w:pPr>
        <w:pStyle w:val="ListBullet"/>
      </w:pPr>
      <w:r>
        <w:t>Evite conversaciones con varias personas: Live está pensado principalmente para diálogo individual.</w:t>
      </w:r>
    </w:p>
    <w:p>
      <w:pPr>
        <w:pStyle w:val="ListBullet"/>
      </w:pPr>
      <w:r>
        <w:t>La transcripción puede diferir del audio por ruido, solapamiento o velocidad.</w:t>
      </w:r>
    </w:p>
    <w:p>
      <w:pPr>
        <w:pStyle w:val="ListBullet"/>
      </w:pPr>
      <w:r>
        <w:t>Voice puede coordinar Work o Codex en escritorio cuando esté disponible; Work y Codex ejecutan la tarea especializada.</w:t>
      </w:r>
    </w:p>
    <w:p>
      <w:pPr>
        <w:pStyle w:val="Heading1"/>
      </w:pPr>
      <w:r>
        <w:t>Cierre seguro</w:t>
      </w:r>
    </w:p>
    <w:p>
      <w:pPr>
        <w:pStyle w:val="ListBullet"/>
      </w:pPr>
      <w:r>
        <w:t>Detenga inmediatamente la sesión si aparece información no autorizada.</w:t>
      </w:r>
    </w:p>
    <w:p>
      <w:pPr>
        <w:pStyle w:val="ListBullet"/>
      </w:pPr>
      <w:r>
        <w:t>Revise la conversación y corrija el registro antes de usarlo.</w:t>
      </w:r>
    </w:p>
    <w:p>
      <w:pPr>
        <w:pStyle w:val="ListBullet"/>
      </w:pPr>
      <w:r>
        <w:t>Elimine la conversación cuando sea necesario conforme a controles de datos y políticas internas.</w:t>
      </w:r>
    </w:p>
    <w:p>
      <w:pPr>
        <w:pStyle w:val="ListBullet"/>
      </w:pPr>
      <w:r>
        <w:t>No es obligatorio conservar audio ni video como evidencia del laboratorio.</w:t>
      </w:r>
    </w:p>
    <w:p>
      <w:pPr>
        <w:pStyle w:val="Heading1"/>
      </w:pPr>
      <w:r>
        <w:t>Fuentes oficiales</w:t>
      </w:r>
    </w:p>
    <w:p>
      <w:r>
        <w:t>https://help.openai.com/en/articles/20001274</w:t>
      </w:r>
    </w:p>
    <w:p>
      <w:r>
        <w:t>https://help.openai.com/en/articles/8400625-voice-mode</w:t>
      </w:r>
    </w:p>
    <w:p>
      <w:r>
        <w:t>https://help.openai.com/en/articles/12168547-voice-dictation-faq</w:t>
      </w:r>
    </w:p>
    <w:p>
      <w:r>
        <w:t>https://help.openai.com/en/articles/20001275-chatgpt-work-and-codex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1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