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BA03D"/>
          <w:sz w:val="44"/>
        </w:rPr>
        <w:t>Guía de publicación segura de Sites</w:t>
      </w:r>
    </w:p>
    <w:p>
      <w:pPr>
        <w:jc w:val="center"/>
      </w:pPr>
      <w:r>
        <w:rPr>
          <w:i/>
          <w:color w:val="0B3B70"/>
        </w:rPr>
        <w:t>Referencia educativa para trabajar con Sites de manera supervisada.</w:t>
      </w:r>
    </w:p>
    <w:p>
      <w:pPr>
        <w:jc w:val="center"/>
      </w:pPr>
      <w:r>
        <w:t>ZYRON AI LAB · Versión 2026-07-26</w:t>
      </w:r>
    </w:p>
    <w:p>
      <w:pPr>
        <w:pStyle w:val="Heading1"/>
      </w:pPr>
      <w:r>
        <w:t>1. Datos que no deben cargarse</w:t>
      </w:r>
    </w:p>
    <w:p>
      <w:r>
        <w:t>No introducir contraseñas, secretos, credenciales, números completos de identificación, datos bancarios ni información cuya exposición pueda causar daño.</w:t>
      </w:r>
    </w:p>
    <w:p>
      <w:pPr>
        <w:pStyle w:val="Heading1"/>
      </w:pPr>
      <w:r>
        <w:t>2. Protección de datos personales</w:t>
      </w:r>
    </w:p>
    <w:p>
      <w:r>
        <w:t>Aplicar minimización, autorización, finalidad definida y controles acordes con la normativa y las políticas internas.</w:t>
      </w:r>
    </w:p>
    <w:p>
      <w:pPr>
        <w:pStyle w:val="Heading1"/>
      </w:pPr>
      <w:r>
        <w:t>3. Información empresarial confidencial</w:t>
      </w:r>
    </w:p>
    <w:p>
      <w:r>
        <w:t>No cargar contratos, estrategias, bases de clientes, datos internos o propiedad reservada sin autorización y controles aprobados.</w:t>
      </w:r>
    </w:p>
    <w:p>
      <w:pPr>
        <w:pStyle w:val="Heading1"/>
      </w:pPr>
      <w:r>
        <w:t>4. Contraseñas y credenciales</w:t>
      </w:r>
    </w:p>
    <w:p>
      <w:r>
        <w:t>Nunca compartir contraseñas, tokens, claves API, códigos de recuperación ni secretos de acceso.</w:t>
      </w:r>
    </w:p>
    <w:p>
      <w:pPr>
        <w:pStyle w:val="Heading1"/>
      </w:pPr>
      <w:r>
        <w:t>5. Propiedad intelectual</w:t>
      </w:r>
    </w:p>
    <w:p>
      <w:r>
        <w:t>Verificar permisos, autoría, licencias y condiciones antes de cargar o reutilizar contenido.</w:t>
      </w:r>
    </w:p>
    <w:p>
      <w:pPr>
        <w:pStyle w:val="Heading1"/>
      </w:pPr>
      <w:r>
        <w:t>6. Verificación de respuestas</w:t>
      </w:r>
    </w:p>
    <w:p>
      <w:r>
        <w:t>Contrastar hechos, cifras, fechas y citas con fuentes confiables, preferentemente oficiales.</w:t>
      </w:r>
    </w:p>
    <w:p>
      <w:pPr>
        <w:pStyle w:val="Heading1"/>
      </w:pPr>
      <w:r>
        <w:t>7. Sesgos y alucinaciones</w:t>
      </w:r>
    </w:p>
    <w:p>
      <w:r>
        <w:t>Una respuesta fluida puede ser incorrecta, incompleta o sesgada. Solicitar evidencia y revisión crítica.</w:t>
      </w:r>
    </w:p>
    <w:p>
      <w:pPr>
        <w:pStyle w:val="Heading1"/>
      </w:pPr>
      <w:r>
        <w:t>8. Uso médico, legal y financiero</w:t>
      </w:r>
    </w:p>
    <w:p>
      <w:r>
        <w:t>No utilizar la respuesta como sustituto de profesionales cualificados ni para decisiones de alto impacto sin supervisión.</w:t>
      </w:r>
    </w:p>
    <w:p>
      <w:pPr>
        <w:pStyle w:val="Heading1"/>
      </w:pPr>
      <w:r>
        <w:t>9. Supervisión humana</w:t>
      </w:r>
    </w:p>
    <w:p>
      <w:r>
        <w:t>Una persona responsable debe revisar y aprobar todo resultado institucional.</w:t>
      </w:r>
    </w:p>
    <w:p>
      <w:pPr>
        <w:pStyle w:val="Heading1"/>
      </w:pPr>
      <w:r>
        <w:t>10. Antes de publicar</w:t>
      </w:r>
    </w:p>
    <w:p>
      <w:r>
        <w:t>Confirmar exactitud, fuentes, privacidad, derechos, tono, vigencia y autorización.</w:t>
      </w:r>
    </w:p>
    <w:p>
      <w:pPr>
        <w:pStyle w:val="Heading1"/>
      </w:pPr>
      <w:r>
        <w:t>11. Fuentes y versiones</w:t>
      </w:r>
    </w:p>
    <w:p>
      <w:r>
        <w:t>Registrar URLs, documentos, fecha de consulta, versión del borrador y responsable de aprobación.</w:t>
      </w:r>
    </w:p>
    <w:p>
      <w:pPr>
        <w:pStyle w:val="Heading1"/>
      </w:pPr>
      <w:r>
        <w:t>12. Respuesta incorrecta</w:t>
      </w:r>
    </w:p>
    <w:p>
      <w:r>
        <w:t>Detener el uso, identificar el error, conservar evidencia, consultar fuentes, solicitar una corrección específica y someter la nueva versión a revisión.</w:t>
      </w:r>
    </w:p>
    <w:p>
      <w:r>
        <w:rPr>
          <w:b/>
        </w:rPr>
        <w:t xml:space="preserve">Nota: </w:t>
      </w:r>
      <w:r>
        <w:t>Esta guía es educativa y no sustituye las políticas internas, la asesoría jurídica ni los protocolos de seguridad de cada organización.</w:t>
      </w:r>
    </w:p>
    <w:sectPr w:rsidR="00FC693F" w:rsidRPr="0006063C" w:rsidSect="00034616">
      <w:pgSz w:w="12240" w:h="15840"/>
      <w:pgMar w:top="648" w:right="1152" w:bottom="6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EBA0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3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B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