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Guía de seguridad y supervisión humana</w:t>
      </w:r>
    </w:p>
    <w:p>
      <w:pPr>
        <w:jc w:val="center"/>
      </w:pPr>
      <w:r>
        <w:rPr>
          <w:i/>
        </w:rPr>
        <w:t>Controles para agentes que interactúan con interfaces digitales</w:t>
      </w:r>
    </w:p>
    <w:p>
      <w:pPr>
        <w:jc w:val="center"/>
      </w:pPr>
      <w:r>
        <w:rPr>
          <w:b/>
        </w:rPr>
        <w:t>ZYRON AI LAB · Revisión 26 de julio de 2026</w:t>
      </w:r>
    </w:p>
    <w:p>
      <w:pPr>
        <w:pStyle w:val="Heading1"/>
      </w:pPr>
      <w:r>
        <w:t>1. Delimitar la tarea</w:t>
      </w:r>
    </w:p>
    <w:p>
      <w:r>
        <w:t>Definir resultado, sitios, aplicaciones, cuentas, datos permitidos y acciones expresamente excluidas.</w:t>
      </w:r>
    </w:p>
    <w:p>
      <w:pPr>
        <w:pStyle w:val="Heading1"/>
      </w:pPr>
      <w:r>
        <w:t>2. Aplicar acceso mínimo</w:t>
      </w:r>
    </w:p>
    <w:p>
      <w:r>
        <w:t>Autorizar solo las superficies y archivos necesarios; cerrar sesiones y retirar permisos al terminar.</w:t>
      </w:r>
    </w:p>
    <w:p>
      <w:pPr>
        <w:pStyle w:val="Heading1"/>
      </w:pPr>
      <w:r>
        <w:t>3. Proteger credenciales</w:t>
      </w:r>
    </w:p>
    <w:p>
      <w:r>
        <w:t>No escribir contraseñas, códigos, tokens ni secretos en el chat. Tomar el control en el navegador o aplicación autorizada.</w:t>
      </w:r>
    </w:p>
    <w:p>
      <w:pPr>
        <w:pStyle w:val="Heading1"/>
      </w:pPr>
      <w:r>
        <w:t>4. Clasificar acciones</w:t>
      </w:r>
    </w:p>
    <w:p>
      <w:r>
        <w:t>Separar acciones reversibles de envíos, publicaciones, compras, pagos, cambios de cuenta, eliminación y otros efectos externos.</w:t>
      </w:r>
    </w:p>
    <w:p>
      <w:pPr>
        <w:pStyle w:val="Heading1"/>
      </w:pPr>
      <w:r>
        <w:t>5. Confirmar antes del efecto</w:t>
      </w:r>
    </w:p>
    <w:p>
      <w:r>
        <w:t>Revisar destinatario, cuenta, importe, archivo, texto y consecuencia antes de cualquier acción sensible.</w:t>
      </w:r>
    </w:p>
    <w:p>
      <w:pPr>
        <w:pStyle w:val="Heading1"/>
      </w:pPr>
      <w:r>
        <w:t>6. Tratar la interfaz como no confiable</w:t>
      </w:r>
    </w:p>
    <w:p>
      <w:r>
        <w:t>Las páginas pueden contener prompt injection, phishing, anuncios engañosos o instrucciones que intenten desviar al agente.</w:t>
      </w:r>
    </w:p>
    <w:p>
      <w:pPr>
        <w:pStyle w:val="Heading1"/>
      </w:pPr>
      <w:r>
        <w:t>7. Supervisar</w:t>
      </w:r>
    </w:p>
    <w:p>
      <w:r>
        <w:t>Detener la tarea si aparece otra cuenta, un sitio inesperado, información sensible, un CAPTCHA o una acción fuera del alcance.</w:t>
      </w:r>
    </w:p>
    <w:p>
      <w:pPr>
        <w:pStyle w:val="Heading1"/>
      </w:pPr>
      <w:r>
        <w:t>8. Preferir integración estructurada</w:t>
      </w:r>
    </w:p>
    <w:p>
      <w:r>
        <w:t>Usar API o conector cuando exista una vía autorizada, estable y auditable para el mismo objetivo.</w:t>
      </w:r>
    </w:p>
    <w:p>
      <w:pPr>
        <w:pStyle w:val="Heading1"/>
      </w:pPr>
      <w:r>
        <w:t>9. Validar el resultado</w:t>
      </w:r>
    </w:p>
    <w:p>
      <w:r>
        <w:t>Comparar el estado final con el criterio de éxito y revisar directamente los cambios producidos.</w:t>
      </w:r>
    </w:p>
    <w:p>
      <w:pPr>
        <w:pStyle w:val="Heading1"/>
      </w:pPr>
      <w:r>
        <w:t>10. Registrar</w:t>
      </w:r>
    </w:p>
    <w:p>
      <w:r>
        <w:t>Documentar pasos, confirmaciones, incidencias, correcciones, responsable y aprobación final.</w:t>
      </w:r>
    </w:p>
    <w:p>
      <w:pPr>
        <w:pStyle w:val="Heading1"/>
      </w:pPr>
      <w:r>
        <w:t>11. Responder a incidentes</w:t>
      </w:r>
    </w:p>
    <w:p>
      <w:r>
        <w:t>Detener, retirar acceso, conservar evidencia mínima, informar, corregir y revisar la exposición de datos.</w:t>
      </w:r>
    </w:p>
    <w:p>
      <w:pPr>
        <w:pStyle w:val="Heading1"/>
      </w:pPr>
      <w:r>
        <w:t>12. Responsabilidad humana</w:t>
      </w:r>
    </w:p>
    <w:p>
      <w:r>
        <w:t>Computer Use no sustituye decisiones profesionales, controles organizacionales ni responsabilidad humana.</w:t>
      </w:r>
    </w:p>
    <w:p>
      <w:pPr>
        <w:pStyle w:val="Heading1"/>
      </w:pPr>
      <w:r>
        <w:t>Lista de cierre</w:t>
      </w:r>
    </w:p>
    <w:p>
      <w:pPr>
        <w:pStyle w:val="ListBullet"/>
      </w:pPr>
      <w:r>
        <w:t>Tarea detenida o finalizada</w:t>
      </w:r>
    </w:p>
    <w:p>
      <w:pPr>
        <w:pStyle w:val="ListBullet"/>
      </w:pPr>
      <w:r>
        <w:t>Cuenta correcta verificada</w:t>
      </w:r>
    </w:p>
    <w:p>
      <w:pPr>
        <w:pStyle w:val="ListBullet"/>
      </w:pPr>
      <w:r>
        <w:t>Acciones sensibles confirmadas</w:t>
      </w:r>
    </w:p>
    <w:p>
      <w:pPr>
        <w:pStyle w:val="ListBullet"/>
      </w:pPr>
      <w:r>
        <w:t>Resultado revisado</w:t>
      </w:r>
    </w:p>
    <w:p>
      <w:pPr>
        <w:pStyle w:val="ListBullet"/>
      </w:pPr>
      <w:r>
        <w:t>Incidencias registradas</w:t>
      </w:r>
    </w:p>
    <w:p>
      <w:pPr>
        <w:pStyle w:val="ListBullet"/>
      </w:pPr>
      <w:r>
        <w:t>Permisos retirados</w:t>
      </w:r>
    </w:p>
    <w:p>
      <w:pPr>
        <w:pStyle w:val="ListBullet"/>
      </w:pPr>
      <w:r>
        <w:t>Datos y sesiones tratados</w:t>
      </w:r>
    </w:p>
    <w:p>
      <w:r>
        <w:t>Material educativo: no sustituye políticas internas, asesoría jurídica, controles de seguridad ni revisión profesional.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