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A22E"/>
          <w:sz w:val="48"/>
        </w:rPr>
        <w:t>Guía de seguridad, privacidad y revocación</w:t>
      </w:r>
    </w:p>
    <w:p>
      <w:pPr>
        <w:jc w:val="center"/>
      </w:pPr>
      <w:r>
        <w:rPr>
          <w:i/>
        </w:rPr>
        <w:t>Controles para fuentes y servicios conectados</w:t>
      </w:r>
    </w:p>
    <w:p>
      <w:pPr>
        <w:jc w:val="center"/>
      </w:pPr>
      <w:r>
        <w:rPr>
          <w:b/>
        </w:rPr>
        <w:t>ZYRON AI LAB · Revisión 28 de julio de 2026</w:t>
      </w:r>
    </w:p>
    <w:p>
      <w:pPr>
        <w:pStyle w:val="Heading1"/>
      </w:pPr>
      <w:r>
        <w:t>1. Confirmar la cuenta</w:t>
      </w:r>
    </w:p>
    <w:p>
      <w:r>
        <w:t>Verificar identidad, espacio de trabajo y servicio antes de autorizar.</w:t>
      </w:r>
    </w:p>
    <w:p>
      <w:pPr>
        <w:pStyle w:val="Heading1"/>
      </w:pPr>
      <w:r>
        <w:t>2. Aplicar permisos mínimos</w:t>
      </w:r>
    </w:p>
    <w:p>
      <w:r>
        <w:t>Conceder solo lectura, búsqueda o acciones estrictamente necesarias.</w:t>
      </w:r>
    </w:p>
    <w:p>
      <w:pPr>
        <w:pStyle w:val="Heading1"/>
      </w:pPr>
      <w:r>
        <w:t>3. Limitar los datos</w:t>
      </w:r>
    </w:p>
    <w:p>
      <w:r>
        <w:t>Excluir secretos, credenciales, categorías sensibles y contenido ajeno al objetivo.</w:t>
      </w:r>
    </w:p>
    <w:p>
      <w:pPr>
        <w:pStyle w:val="Heading1"/>
      </w:pPr>
      <w:r>
        <w:t>4. Separar consulta y acción</w:t>
      </w:r>
    </w:p>
    <w:p>
      <w:r>
        <w:t>Distinguir búsqueda, lectura, creación, edición, envío y eliminación.</w:t>
      </w:r>
    </w:p>
    <w:p>
      <w:pPr>
        <w:pStyle w:val="Heading1"/>
      </w:pPr>
      <w:r>
        <w:t>5. Confirmar efectos externos</w:t>
      </w:r>
    </w:p>
    <w:p>
      <w:r>
        <w:t>Revisar destinatario, fecha, archivo, contenido y consecuencia antes de escribir.</w:t>
      </w:r>
    </w:p>
    <w:p>
      <w:pPr>
        <w:pStyle w:val="Heading1"/>
      </w:pPr>
      <w:r>
        <w:t>6. Verificar la fuente</w:t>
      </w:r>
    </w:p>
    <w:p>
      <w:r>
        <w:t>Abrir el origen y comprobar actualidad, propiedad y contexto del resultado.</w:t>
      </w:r>
    </w:p>
    <w:p>
      <w:pPr>
        <w:pStyle w:val="Heading1"/>
      </w:pPr>
      <w:r>
        <w:t>7. Controlar retención y sync</w:t>
      </w:r>
    </w:p>
    <w:p>
      <w:r>
        <w:t>Revisar las opciones reales del servicio; conectar no significa copiar toda la cuenta.</w:t>
      </w:r>
    </w:p>
    <w:p>
      <w:pPr>
        <w:pStyle w:val="Heading1"/>
      </w:pPr>
      <w:r>
        <w:t>8. Registrar el uso</w:t>
      </w:r>
    </w:p>
    <w:p>
      <w:r>
        <w:t>Documentar fuente, permisos, consulta, resultados, acciones, incidencias y aprobación.</w:t>
      </w:r>
    </w:p>
    <w:p>
      <w:pPr>
        <w:pStyle w:val="Heading1"/>
      </w:pPr>
      <w:r>
        <w:t>9. Revocar cuando termine</w:t>
      </w:r>
    </w:p>
    <w:p>
      <w:r>
        <w:t>Desconectar o retirar permisos si el acceso ya no es necesario.</w:t>
      </w:r>
    </w:p>
    <w:p>
      <w:pPr>
        <w:pStyle w:val="Heading1"/>
      </w:pPr>
      <w:r>
        <w:t>10. Responder a incidentes</w:t>
      </w:r>
    </w:p>
    <w:p>
      <w:r>
        <w:t>Detener, revocar, conservar evidencia mínima, informar y revisar exposición.</w:t>
      </w:r>
    </w:p>
    <w:p>
      <w:pPr>
        <w:pStyle w:val="Heading1"/>
      </w:pPr>
      <w:r>
        <w:t>11. Respetar gobierno institucional</w:t>
      </w:r>
    </w:p>
    <w:p>
      <w:r>
        <w:t>Aplicar políticas internas, roles administrativos y requisitos regulatorios.</w:t>
      </w:r>
    </w:p>
    <w:p>
      <w:pPr>
        <w:pStyle w:val="Heading1"/>
      </w:pPr>
      <w:r>
        <w:t>12. Mantener supervisión humana</w:t>
      </w:r>
    </w:p>
    <w:p>
      <w:r>
        <w:t>Los conectores no sustituyen responsabilidad profesional ni revisión competente.</w:t>
      </w:r>
    </w:p>
    <w:p>
      <w:pPr>
        <w:pStyle w:val="Heading1"/>
      </w:pPr>
      <w:r>
        <w:t>Lista de cierre</w:t>
      </w:r>
    </w:p>
    <w:p>
      <w:pPr>
        <w:pStyle w:val="ListBullet"/>
      </w:pPr>
      <w:r>
        <w:t>Cuenta correcta verificada</w:t>
      </w:r>
    </w:p>
    <w:p>
      <w:pPr>
        <w:pStyle w:val="ListBullet"/>
      </w:pPr>
      <w:r>
        <w:t>Permisos mínimos revisados</w:t>
      </w:r>
    </w:p>
    <w:p>
      <w:pPr>
        <w:pStyle w:val="ListBullet"/>
      </w:pPr>
      <w:r>
        <w:t>Resultados contrastados con la fuente</w:t>
      </w:r>
    </w:p>
    <w:p>
      <w:pPr>
        <w:pStyle w:val="ListBullet"/>
      </w:pPr>
      <w:r>
        <w:t>Acciones sensibles confirmadas</w:t>
      </w:r>
    </w:p>
    <w:p>
      <w:pPr>
        <w:pStyle w:val="ListBullet"/>
      </w:pPr>
      <w:r>
        <w:t>Incidencias registradas</w:t>
      </w:r>
    </w:p>
    <w:p>
      <w:pPr>
        <w:pStyle w:val="ListBullet"/>
      </w:pPr>
      <w:r>
        <w:t>Acceso conservado o revocado con justificación</w:t>
      </w:r>
    </w:p>
    <w:p>
      <w:r>
        <w:t>Material educativo: no sustituye políticas internas, asesoría jurídica, controles de seguridad ni revisión profesional.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71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3F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3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