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A22E"/>
          <w:sz w:val="48"/>
        </w:rPr>
        <w:t>Guía de seguridad y manejo de información</w:t>
      </w:r>
    </w:p>
    <w:p>
      <w:pPr>
        <w:jc w:val="center"/>
      </w:pPr>
      <w:r>
        <w:rPr>
          <w:color w:val="0B3F75"/>
          <w:sz w:val="20"/>
        </w:rPr>
        <w:t>Controles prácticos para trabajos profesionales con ChatGPT Work</w:t>
      </w:r>
    </w:p>
    <w:p>
      <w:pPr>
        <w:jc w:val="center"/>
      </w:pPr>
      <w:r>
        <w:rPr>
          <w:b/>
          <w:sz w:val="18"/>
        </w:rPr>
        <w:t>ZYRON AI LAB · Versión 2026-07-26</w:t>
      </w:r>
    </w:p>
    <w:p>
      <w:pPr>
        <w:pStyle w:val="Heading1"/>
      </w:pPr>
      <w:r>
        <w:t>1. Clasificación de la información</w:t>
      </w:r>
    </w:p>
    <w:p>
      <w:r>
        <w:t>Identificar información pública, interna, confidencial, personal o restringida antes de compartirla.</w:t>
      </w:r>
    </w:p>
    <w:p>
      <w:pPr>
        <w:pStyle w:val="Heading1"/>
      </w:pPr>
      <w:r>
        <w:t>2. Acceso mínimo</w:t>
      </w:r>
    </w:p>
    <w:p>
      <w:r>
        <w:t>Habilitar solo las aplicaciones, archivos y acciones necesarios para el encargo.</w:t>
      </w:r>
    </w:p>
    <w:p>
      <w:pPr>
        <w:pStyle w:val="Heading1"/>
      </w:pPr>
      <w:r>
        <w:t>3. Conectores autorizados</w:t>
      </w:r>
    </w:p>
    <w:p>
      <w:r>
        <w:t>Confirmar cuenta, organización, permisos, finalidad y responsable antes de conectar una aplicación.</w:t>
      </w:r>
    </w:p>
    <w:p>
      <w:pPr>
        <w:pStyle w:val="Heading1"/>
      </w:pPr>
      <w:r>
        <w:t>4. Datos personales</w:t>
      </w:r>
    </w:p>
    <w:p>
      <w:r>
        <w:t>Minimizar datos, justificar su uso y aplicar las políticas internas y legales correspondientes.</w:t>
      </w:r>
    </w:p>
    <w:p>
      <w:pPr>
        <w:pStyle w:val="Heading1"/>
      </w:pPr>
      <w:r>
        <w:t>5. Credenciales y secretos</w:t>
      </w:r>
    </w:p>
    <w:p>
      <w:r>
        <w:t>No incluir contraseñas, tokens, claves API, códigos de recuperación ni secretos en archivos o instrucciones.</w:t>
      </w:r>
    </w:p>
    <w:p>
      <w:pPr>
        <w:pStyle w:val="Heading1"/>
      </w:pPr>
      <w:r>
        <w:t>6. Archivos y metadatos</w:t>
      </w:r>
    </w:p>
    <w:p>
      <w:r>
        <w:t>Revisar comentarios, propiedades, historial, autores y contenido oculto antes de compartir.</w:t>
      </w:r>
    </w:p>
    <w:p>
      <w:pPr>
        <w:pStyle w:val="Heading1"/>
      </w:pPr>
      <w:r>
        <w:t>7. Fuentes y derechos</w:t>
      </w:r>
    </w:p>
    <w:p>
      <w:r>
        <w:t>Comprobar vigencia, autoría, licencias, atribución y autorización de publicación.</w:t>
      </w:r>
    </w:p>
    <w:p>
      <w:pPr>
        <w:pStyle w:val="Heading1"/>
      </w:pPr>
      <w:r>
        <w:t>8. Fórmulas y cálculos</w:t>
      </w:r>
    </w:p>
    <w:p>
      <w:r>
        <w:t>Validar entradas, referencias, supuestos, unidades, fórmulas y resultados.</w:t>
      </w:r>
    </w:p>
    <w:p>
      <w:pPr>
        <w:pStyle w:val="Heading1"/>
      </w:pPr>
      <w:r>
        <w:t>9. Formatos y diseño</w:t>
      </w:r>
    </w:p>
    <w:p>
      <w:r>
        <w:t>Abrir cada archivo final y revisar paginación, tablas, gráficos, tipografía y elementos recortados.</w:t>
      </w:r>
    </w:p>
    <w:p>
      <w:pPr>
        <w:pStyle w:val="Heading1"/>
      </w:pPr>
      <w:r>
        <w:t>10. Versiones y almacenamiento</w:t>
      </w:r>
    </w:p>
    <w:p>
      <w:r>
        <w:t>Registrar nombre, versión, ubicación, responsable, copia de respaldo y retención.</w:t>
      </w:r>
    </w:p>
    <w:p>
      <w:pPr>
        <w:pStyle w:val="Heading1"/>
      </w:pPr>
      <w:r>
        <w:t>11. Aprobación humana</w:t>
      </w:r>
    </w:p>
    <w:p>
      <w:r>
        <w:t>No enviar, publicar ni utilizar para una decisión importante sin una revisión competente.</w:t>
      </w:r>
    </w:p>
    <w:p>
      <w:pPr>
        <w:pStyle w:val="Heading1"/>
      </w:pPr>
      <w:r>
        <w:t>12. Respuesta ante errores</w:t>
      </w:r>
    </w:p>
    <w:p>
      <w:r>
        <w:t>Detener la distribución, conservar evidencia, corregir, volver a validar y comunicar la versión afectada.</w:t>
      </w:r>
    </w:p>
    <w:p>
      <w:pPr>
        <w:pStyle w:val="Heading1"/>
      </w:pPr>
      <w:r>
        <w:t>13. Disponibilidad y superficies</w:t>
      </w:r>
    </w:p>
    <w:p>
      <w:r>
        <w:t>Confirmar plan, plataforma, aplicaciones y formatos antes de prometer una capacidad.</w:t>
      </w:r>
    </w:p>
    <w:p>
      <w:pPr>
        <w:pStyle w:val="Heading1"/>
      </w:pPr>
      <w:r>
        <w:t>14. Lista final</w:t>
      </w:r>
    </w:p>
    <w:p>
      <w:r>
        <w:t>Revisar audiencia, acceso, datos, fuentes, fórmulas, diseño, versiones, destinatarios y aprobación.</w:t>
      </w:r>
    </w:p>
    <w:p>
      <w:r>
        <w:t>Nota: esta guía es educativa y no sustituye políticas internas, asesoría jurídica, controles de seguridad ni revisión profesional.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71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