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B5317">
      <w:pPr>
        <w:spacing w:before="0" w:beforeLines="0" w:after="0" w:afterLines="0" w:line="240" w:lineRule="auto"/>
        <w:ind w:left="0" w:leftChars="0" w:right="0" w:rightChars="0" w:firstLine="0" w:firstLineChars="0"/>
        <w:jc w:val="center"/>
        <w:rPr>
          <w:rFonts w:ascii="黑体" w:hAnsi="宋体" w:eastAsia="黑体"/>
          <w:b/>
          <w:bCs/>
          <w:sz w:val="60"/>
          <w:szCs w:val="60"/>
        </w:rPr>
      </w:pPr>
      <w:r>
        <w:rPr>
          <w:rFonts w:ascii="黑体" w:hAnsi="宋体" w:eastAsia="黑体"/>
          <w:b/>
          <w:bCs/>
          <w:sz w:val="60"/>
          <w:szCs w:val="60"/>
        </w:rPr>
        <w:drawing>
          <wp:inline distT="0" distB="0" distL="114300" distR="114300">
            <wp:extent cx="4837430" cy="911225"/>
            <wp:effectExtent l="0" t="0" r="0" b="0"/>
            <wp:docPr id="20"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校名"/>
                    <pic:cNvPicPr>
                      <a:picLocks noChangeAspect="1"/>
                    </pic:cNvPicPr>
                  </pic:nvPicPr>
                  <pic:blipFill>
                    <a:blip r:embed="rId10"/>
                    <a:stretch>
                      <a:fillRect/>
                    </a:stretch>
                  </pic:blipFill>
                  <pic:spPr>
                    <a:xfrm>
                      <a:off x="0" y="0"/>
                      <a:ext cx="4837430" cy="911225"/>
                    </a:xfrm>
                    <a:prstGeom prst="rect">
                      <a:avLst/>
                    </a:prstGeom>
                    <a:noFill/>
                    <a:ln>
                      <a:noFill/>
                    </a:ln>
                  </pic:spPr>
                </pic:pic>
              </a:graphicData>
            </a:graphic>
          </wp:inline>
        </w:drawing>
      </w:r>
    </w:p>
    <w:p w14:paraId="0996D3D7">
      <w:pPr>
        <w:spacing w:line="1900" w:lineRule="exact"/>
        <w:ind w:left="0" w:leftChars="0" w:firstLine="0" w:firstLineChars="0"/>
        <w:jc w:val="center"/>
        <w:rPr>
          <w:rFonts w:hint="eastAsia" w:ascii="方正小标宋简体" w:hAnsi="华文中宋" w:eastAsia="方正小标宋简体"/>
          <w:sz w:val="60"/>
          <w:szCs w:val="60"/>
        </w:rPr>
      </w:pPr>
      <w:r>
        <w:rPr>
          <w:rFonts w:hint="eastAsia" w:ascii="方正小标宋简体" w:hAnsi="华文中宋" w:eastAsia="方正小标宋简体"/>
          <w:sz w:val="60"/>
          <w:szCs w:val="60"/>
          <w:lang w:val="en-US" w:eastAsia="zh-CN"/>
        </w:rPr>
        <w:t>商业计划书</w:t>
      </w:r>
    </w:p>
    <w:p w14:paraId="6B41407B">
      <w:pPr>
        <w:spacing w:line="700" w:lineRule="exact"/>
        <w:jc w:val="center"/>
        <w:rPr>
          <w:rFonts w:hint="eastAsia" w:eastAsia="黑体"/>
          <w:sz w:val="44"/>
        </w:rPr>
      </w:pPr>
    </w:p>
    <w:tbl>
      <w:tblPr>
        <w:tblStyle w:val="13"/>
        <w:tblpPr w:leftFromText="180" w:rightFromText="180" w:vertAnchor="text" w:horzAnchor="page" w:tblpX="2103" w:tblpY="691"/>
        <w:tblOverlap w:val="never"/>
        <w:tblW w:w="0" w:type="auto"/>
        <w:tblInd w:w="0" w:type="dxa"/>
        <w:tblLayout w:type="fixed"/>
        <w:tblCellMar>
          <w:top w:w="0" w:type="dxa"/>
          <w:left w:w="108" w:type="dxa"/>
          <w:bottom w:w="0" w:type="dxa"/>
          <w:right w:w="108" w:type="dxa"/>
        </w:tblCellMar>
      </w:tblPr>
      <w:tblGrid>
        <w:gridCol w:w="1449"/>
        <w:gridCol w:w="7020"/>
      </w:tblGrid>
      <w:tr w14:paraId="77A3120E">
        <w:tblPrEx>
          <w:tblCellMar>
            <w:top w:w="0" w:type="dxa"/>
            <w:left w:w="108" w:type="dxa"/>
            <w:bottom w:w="0" w:type="dxa"/>
            <w:right w:w="108" w:type="dxa"/>
          </w:tblCellMar>
        </w:tblPrEx>
        <w:trPr>
          <w:trHeight w:val="680" w:hRule="exact"/>
        </w:trPr>
        <w:tc>
          <w:tcPr>
            <w:tcW w:w="1449" w:type="dxa"/>
            <w:noWrap w:val="0"/>
            <w:vAlign w:val="center"/>
          </w:tcPr>
          <w:p w14:paraId="796F58B2">
            <w:pPr>
              <w:spacing w:line="400" w:lineRule="exact"/>
              <w:ind w:left="0" w:leftChars="0" w:firstLine="0" w:firstLineChars="0"/>
              <w:jc w:val="both"/>
              <w:rPr>
                <w:rFonts w:hint="eastAsia" w:ascii="黑体" w:hAnsi="宋体" w:eastAsia="黑体"/>
                <w:bCs/>
                <w:sz w:val="32"/>
                <w:szCs w:val="32"/>
              </w:rPr>
            </w:pPr>
            <w:r>
              <w:rPr>
                <w:rFonts w:hint="eastAsia" w:ascii="黑体" w:eastAsia="黑体"/>
                <w:sz w:val="36"/>
                <w:szCs w:val="36"/>
              </w:rPr>
              <w:t>题　目</w:t>
            </w:r>
          </w:p>
        </w:tc>
        <w:tc>
          <w:tcPr>
            <w:tcW w:w="7020" w:type="dxa"/>
            <w:tcBorders>
              <w:bottom w:val="single" w:color="auto" w:sz="4" w:space="0"/>
            </w:tcBorders>
            <w:noWrap w:val="0"/>
            <w:vAlign w:val="center"/>
          </w:tcPr>
          <w:p w14:paraId="17E904BA">
            <w:pPr>
              <w:pStyle w:val="8"/>
              <w:jc w:val="center"/>
              <w:rPr>
                <w:rFonts w:hint="eastAsia" w:ascii="方正楷体_GB2312" w:hAnsi="方正楷体_GB2312" w:eastAsia="方正楷体_GB2312" w:cs="方正楷体_GB2312"/>
                <w:b/>
                <w:bCs/>
                <w:sz w:val="32"/>
                <w:szCs w:val="32"/>
              </w:rPr>
            </w:pPr>
            <w:r>
              <w:rPr>
                <w:rFonts w:hint="eastAsia" w:ascii="方正楷体_GB2312" w:hAnsi="方正楷体_GB2312" w:eastAsia="方正楷体_GB2312" w:cs="方正楷体_GB2312"/>
                <w:b/>
                <w:bCs/>
                <w:sz w:val="32"/>
                <w:szCs w:val="32"/>
                <w:lang w:val="en-US" w:eastAsia="zh-CN"/>
              </w:rPr>
              <w:t>“锈鉴智检”——</w:t>
            </w:r>
            <w:r>
              <w:rPr>
                <w:rFonts w:hint="eastAsia" w:ascii="方正楷体_GB2312" w:hAnsi="方正楷体_GB2312" w:eastAsia="方正楷体_GB2312" w:cs="方正楷体_GB2312"/>
                <w:b/>
                <w:bCs/>
                <w:sz w:val="32"/>
                <w:szCs w:val="32"/>
              </w:rPr>
              <w:t>低成本高精度钢材质检专家</w:t>
            </w:r>
          </w:p>
        </w:tc>
      </w:tr>
    </w:tbl>
    <w:p w14:paraId="626885CC">
      <w:pPr>
        <w:spacing w:line="400" w:lineRule="exact"/>
        <w:ind w:left="0" w:leftChars="0" w:firstLine="0" w:firstLineChars="0"/>
        <w:jc w:val="both"/>
        <w:rPr>
          <w:rFonts w:hint="eastAsia" w:ascii="楷体_GB2312" w:hAnsi="宋体" w:eastAsia="楷体_GB2312"/>
          <w:b/>
          <w:bCs/>
          <w:sz w:val="32"/>
          <w:szCs w:val="32"/>
        </w:rPr>
      </w:pPr>
    </w:p>
    <w:p w14:paraId="7C8E0057">
      <w:pPr>
        <w:spacing w:line="400" w:lineRule="exact"/>
        <w:jc w:val="center"/>
        <w:rPr>
          <w:rFonts w:hint="eastAsia" w:ascii="楷体_GB2312" w:hAnsi="宋体" w:eastAsia="楷体_GB2312"/>
          <w:b/>
          <w:bCs/>
          <w:sz w:val="32"/>
          <w:szCs w:val="32"/>
        </w:rPr>
      </w:pPr>
    </w:p>
    <w:tbl>
      <w:tblPr>
        <w:tblStyle w:val="13"/>
        <w:tblpPr w:leftFromText="180" w:rightFromText="180" w:vertAnchor="text" w:horzAnchor="page" w:tblpX="3185" w:tblpY="473"/>
        <w:tblOverlap w:val="never"/>
        <w:tblW w:w="0" w:type="auto"/>
        <w:tblInd w:w="0" w:type="dxa"/>
        <w:tblLayout w:type="fixed"/>
        <w:tblCellMar>
          <w:top w:w="0" w:type="dxa"/>
          <w:left w:w="108" w:type="dxa"/>
          <w:bottom w:w="0" w:type="dxa"/>
          <w:right w:w="108" w:type="dxa"/>
        </w:tblCellMar>
      </w:tblPr>
      <w:tblGrid>
        <w:gridCol w:w="2160"/>
        <w:gridCol w:w="4500"/>
      </w:tblGrid>
      <w:tr w14:paraId="032E839D">
        <w:tblPrEx>
          <w:tblCellMar>
            <w:top w:w="0" w:type="dxa"/>
            <w:left w:w="108" w:type="dxa"/>
            <w:bottom w:w="0" w:type="dxa"/>
            <w:right w:w="108" w:type="dxa"/>
          </w:tblCellMar>
        </w:tblPrEx>
        <w:trPr>
          <w:trHeight w:val="587" w:hRule="exact"/>
        </w:trPr>
        <w:tc>
          <w:tcPr>
            <w:tcW w:w="2160" w:type="dxa"/>
            <w:noWrap w:val="0"/>
            <w:vAlign w:val="center"/>
          </w:tcPr>
          <w:p w14:paraId="63EC3CEB">
            <w:pPr>
              <w:spacing w:line="400" w:lineRule="exact"/>
              <w:ind w:left="0" w:leftChars="0" w:firstLine="0" w:firstLineChars="0"/>
              <w:jc w:val="center"/>
              <w:rPr>
                <w:rFonts w:hint="eastAsia" w:ascii="黑体" w:hAnsi="宋体" w:eastAsia="黑体"/>
                <w:b/>
                <w:bCs/>
                <w:sz w:val="32"/>
                <w:szCs w:val="32"/>
              </w:rPr>
            </w:pPr>
            <w:r>
              <w:rPr>
                <w:rFonts w:hint="eastAsia" w:ascii="楷体_GB2312" w:eastAsia="楷体_GB2312"/>
                <w:b/>
                <w:sz w:val="32"/>
                <w:szCs w:val="32"/>
              </w:rPr>
              <w:t>学 院 名 称</w:t>
            </w:r>
          </w:p>
        </w:tc>
        <w:tc>
          <w:tcPr>
            <w:tcW w:w="4500" w:type="dxa"/>
            <w:tcBorders>
              <w:bottom w:val="single" w:color="auto" w:sz="4" w:space="0"/>
            </w:tcBorders>
            <w:noWrap w:val="0"/>
            <w:vAlign w:val="center"/>
          </w:tcPr>
          <w:p w14:paraId="76658E47">
            <w:pPr>
              <w:spacing w:line="400" w:lineRule="exact"/>
              <w:ind w:left="0" w:leftChars="0" w:firstLine="0" w:firstLineChars="0"/>
              <w:jc w:val="center"/>
              <w:rPr>
                <w:rFonts w:hint="eastAsia" w:ascii="仿宋_GB2312" w:hAnsi="宋体" w:eastAsia="仿宋_GB2312"/>
                <w:b/>
                <w:bCs/>
                <w:sz w:val="32"/>
                <w:szCs w:val="32"/>
                <w:lang w:val="en-US" w:eastAsia="zh-CN"/>
              </w:rPr>
            </w:pPr>
            <w:r>
              <w:rPr>
                <w:rFonts w:hint="eastAsia" w:ascii="方正楷体_GB2312" w:hAnsi="方正楷体_GB2312" w:eastAsia="方正楷体_GB2312" w:cs="方正楷体_GB2312"/>
                <w:b/>
                <w:bCs/>
                <w:sz w:val="32"/>
                <w:szCs w:val="32"/>
                <w:lang w:val="en-US" w:eastAsia="zh-CN"/>
              </w:rPr>
              <w:t>先进制造工程学院</w:t>
            </w:r>
          </w:p>
        </w:tc>
      </w:tr>
    </w:tbl>
    <w:p w14:paraId="282883CC">
      <w:pPr>
        <w:spacing w:line="500" w:lineRule="exact"/>
        <w:jc w:val="center"/>
        <w:rPr>
          <w:rFonts w:hint="eastAsia"/>
          <w:sz w:val="24"/>
        </w:rPr>
      </w:pPr>
    </w:p>
    <w:p w14:paraId="7107F5E2">
      <w:pPr>
        <w:spacing w:line="200" w:lineRule="exact"/>
        <w:ind w:firstLine="1108" w:firstLineChars="345"/>
        <w:jc w:val="center"/>
        <w:rPr>
          <w:rFonts w:hint="eastAsia" w:ascii="楷体_GB2312" w:eastAsia="楷体_GB2312"/>
          <w:b/>
          <w:sz w:val="32"/>
          <w:szCs w:val="32"/>
        </w:rPr>
      </w:pPr>
    </w:p>
    <w:p w14:paraId="148CFA8F">
      <w:pPr>
        <w:spacing w:line="200" w:lineRule="exact"/>
        <w:ind w:firstLine="1108" w:firstLineChars="345"/>
        <w:jc w:val="center"/>
        <w:rPr>
          <w:rFonts w:hint="eastAsia" w:ascii="楷体_GB2312" w:eastAsia="楷体_GB2312"/>
          <w:b/>
          <w:sz w:val="32"/>
          <w:szCs w:val="32"/>
        </w:rPr>
      </w:pPr>
    </w:p>
    <w:p w14:paraId="18B2C024">
      <w:pPr>
        <w:spacing w:line="200" w:lineRule="exact"/>
        <w:jc w:val="both"/>
        <w:rPr>
          <w:rFonts w:hint="eastAsia" w:ascii="楷体_GB2312" w:eastAsia="楷体_GB2312"/>
          <w:b/>
          <w:sz w:val="32"/>
          <w:szCs w:val="32"/>
        </w:rPr>
      </w:pPr>
    </w:p>
    <w:p w14:paraId="0B826CCF">
      <w:pPr>
        <w:spacing w:line="200" w:lineRule="exact"/>
        <w:ind w:firstLine="1108" w:firstLineChars="345"/>
        <w:jc w:val="center"/>
        <w:rPr>
          <w:rFonts w:hint="eastAsia" w:ascii="楷体_GB2312" w:eastAsia="楷体_GB2312"/>
          <w:b/>
          <w:sz w:val="32"/>
          <w:szCs w:val="32"/>
        </w:rPr>
      </w:pPr>
    </w:p>
    <w:tbl>
      <w:tblPr>
        <w:tblStyle w:val="13"/>
        <w:tblpPr w:leftFromText="180" w:rightFromText="180" w:vertAnchor="text" w:horzAnchor="page" w:tblpX="3185" w:tblpY="5"/>
        <w:tblOverlap w:val="never"/>
        <w:tblW w:w="0" w:type="auto"/>
        <w:tblInd w:w="0" w:type="dxa"/>
        <w:tblLayout w:type="fixed"/>
        <w:tblCellMar>
          <w:top w:w="0" w:type="dxa"/>
          <w:left w:w="108" w:type="dxa"/>
          <w:bottom w:w="0" w:type="dxa"/>
          <w:right w:w="108" w:type="dxa"/>
        </w:tblCellMar>
      </w:tblPr>
      <w:tblGrid>
        <w:gridCol w:w="2160"/>
        <w:gridCol w:w="4500"/>
      </w:tblGrid>
      <w:tr w14:paraId="375DEEE7">
        <w:tblPrEx>
          <w:tblCellMar>
            <w:top w:w="0" w:type="dxa"/>
            <w:left w:w="108" w:type="dxa"/>
            <w:bottom w:w="0" w:type="dxa"/>
            <w:right w:w="108" w:type="dxa"/>
          </w:tblCellMar>
        </w:tblPrEx>
        <w:trPr>
          <w:trHeight w:val="556" w:hRule="exact"/>
        </w:trPr>
        <w:tc>
          <w:tcPr>
            <w:tcW w:w="2160" w:type="dxa"/>
            <w:noWrap w:val="0"/>
            <w:vAlign w:val="center"/>
          </w:tcPr>
          <w:p w14:paraId="7469A81A">
            <w:pPr>
              <w:spacing w:line="400" w:lineRule="exact"/>
              <w:ind w:left="0" w:leftChars="0" w:firstLine="0" w:firstLineChars="0"/>
              <w:jc w:val="center"/>
              <w:rPr>
                <w:rFonts w:hint="eastAsia" w:ascii="楷体_GB2312" w:eastAsia="楷体_GB2312"/>
                <w:b/>
                <w:sz w:val="32"/>
                <w:szCs w:val="32"/>
              </w:rPr>
            </w:pPr>
            <w:r>
              <w:rPr>
                <w:rFonts w:hint="eastAsia" w:ascii="楷体_GB2312" w:eastAsia="楷体_GB2312"/>
                <w:b/>
                <w:sz w:val="32"/>
                <w:szCs w:val="32"/>
              </w:rPr>
              <w:t>专 业 名 称</w:t>
            </w:r>
          </w:p>
        </w:tc>
        <w:tc>
          <w:tcPr>
            <w:tcW w:w="4500" w:type="dxa"/>
            <w:tcBorders>
              <w:bottom w:val="single" w:color="auto" w:sz="4" w:space="0"/>
            </w:tcBorders>
            <w:noWrap w:val="0"/>
            <w:vAlign w:val="center"/>
          </w:tcPr>
          <w:p w14:paraId="1576317A">
            <w:pPr>
              <w:tabs>
                <w:tab w:val="left" w:pos="521"/>
                <w:tab w:val="center" w:pos="2521"/>
              </w:tabs>
              <w:spacing w:line="400" w:lineRule="exact"/>
              <w:ind w:left="0" w:leftChars="0" w:firstLine="0" w:firstLineChars="0"/>
              <w:jc w:val="center"/>
              <w:rPr>
                <w:rFonts w:hint="default" w:ascii="楷体_GB2312" w:hAnsi="宋体" w:eastAsia="楷体_GB2312"/>
                <w:b/>
                <w:bCs/>
                <w:sz w:val="32"/>
                <w:szCs w:val="32"/>
                <w:lang w:val="en-US" w:eastAsia="zh-CN"/>
              </w:rPr>
            </w:pPr>
            <w:r>
              <w:rPr>
                <w:rFonts w:hint="eastAsia" w:ascii="楷体_GB2312" w:hAnsi="宋体" w:eastAsia="楷体_GB2312"/>
                <w:b/>
                <w:bCs/>
                <w:sz w:val="32"/>
                <w:szCs w:val="32"/>
                <w:lang w:val="en-US" w:eastAsia="zh-CN"/>
              </w:rPr>
              <w:t>智能制造工程</w:t>
            </w:r>
          </w:p>
        </w:tc>
      </w:tr>
    </w:tbl>
    <w:p w14:paraId="12E13FE7">
      <w:pPr>
        <w:spacing w:line="200" w:lineRule="exact"/>
        <w:ind w:firstLine="1108" w:firstLineChars="345"/>
        <w:jc w:val="center"/>
        <w:rPr>
          <w:rFonts w:hint="eastAsia" w:ascii="楷体_GB2312" w:eastAsia="楷体_GB2312"/>
          <w:b/>
          <w:sz w:val="32"/>
          <w:szCs w:val="32"/>
        </w:rPr>
      </w:pPr>
    </w:p>
    <w:p w14:paraId="4327ECE6">
      <w:pPr>
        <w:spacing w:line="100" w:lineRule="exact"/>
        <w:ind w:firstLine="1108" w:firstLineChars="345"/>
        <w:rPr>
          <w:rFonts w:hint="eastAsia" w:ascii="楷体_GB2312" w:eastAsia="楷体_GB2312"/>
          <w:b/>
          <w:sz w:val="32"/>
          <w:szCs w:val="32"/>
        </w:rPr>
      </w:pPr>
    </w:p>
    <w:p w14:paraId="7A7D8006">
      <w:pPr>
        <w:spacing w:line="600" w:lineRule="exact"/>
        <w:jc w:val="both"/>
        <w:rPr>
          <w:rFonts w:hint="eastAsia" w:ascii="楷体_GB2312" w:eastAsia="楷体_GB2312"/>
          <w:spacing w:val="40"/>
          <w:sz w:val="32"/>
          <w:szCs w:val="32"/>
        </w:rPr>
      </w:pPr>
      <w:r>
        <w:rPr>
          <w:rFonts w:hint="eastAsia" w:ascii="楷体_GB2312" w:eastAsia="楷体_GB2312"/>
          <w:spacing w:val="40"/>
          <w:sz w:val="32"/>
          <w:szCs w:val="32"/>
        </w:rPr>
        <w:t>　</w:t>
      </w:r>
    </w:p>
    <w:tbl>
      <w:tblPr>
        <w:tblStyle w:val="13"/>
        <w:tblpPr w:leftFromText="180" w:rightFromText="180" w:vertAnchor="text" w:horzAnchor="page" w:tblpX="3185" w:tblpY="141"/>
        <w:tblOverlap w:val="never"/>
        <w:tblW w:w="0" w:type="auto"/>
        <w:tblInd w:w="0" w:type="dxa"/>
        <w:tblLayout w:type="fixed"/>
        <w:tblCellMar>
          <w:top w:w="0" w:type="dxa"/>
          <w:left w:w="108" w:type="dxa"/>
          <w:bottom w:w="0" w:type="dxa"/>
          <w:right w:w="108" w:type="dxa"/>
        </w:tblCellMar>
      </w:tblPr>
      <w:tblGrid>
        <w:gridCol w:w="2160"/>
        <w:gridCol w:w="4500"/>
      </w:tblGrid>
      <w:tr w14:paraId="0634AD36">
        <w:tblPrEx>
          <w:tblCellMar>
            <w:top w:w="0" w:type="dxa"/>
            <w:left w:w="108" w:type="dxa"/>
            <w:bottom w:w="0" w:type="dxa"/>
            <w:right w:w="108" w:type="dxa"/>
          </w:tblCellMar>
        </w:tblPrEx>
        <w:trPr>
          <w:trHeight w:val="565" w:hRule="exact"/>
        </w:trPr>
        <w:tc>
          <w:tcPr>
            <w:tcW w:w="2160" w:type="dxa"/>
            <w:noWrap w:val="0"/>
            <w:vAlign w:val="center"/>
          </w:tcPr>
          <w:p w14:paraId="75B8985C">
            <w:pPr>
              <w:spacing w:line="400" w:lineRule="exact"/>
              <w:ind w:left="0" w:leftChars="0" w:firstLine="0" w:firstLineChars="0"/>
              <w:jc w:val="center"/>
              <w:rPr>
                <w:rFonts w:hint="default" w:ascii="楷体_GB2312" w:hAnsi="宋体" w:eastAsia="楷体_GB2312"/>
                <w:b/>
                <w:bCs/>
                <w:sz w:val="32"/>
                <w:szCs w:val="32"/>
                <w:lang w:val="en-US" w:eastAsia="zh-CN"/>
              </w:rPr>
            </w:pPr>
            <w:r>
              <w:rPr>
                <w:rFonts w:hint="eastAsia" w:ascii="楷体_GB2312" w:hAnsi="宋体" w:eastAsia="楷体_GB2312"/>
                <w:b/>
                <w:bCs/>
                <w:sz w:val="32"/>
                <w:szCs w:val="32"/>
                <w:lang w:val="en-US" w:eastAsia="zh-CN"/>
              </w:rPr>
              <w:t>项目负责人</w:t>
            </w:r>
          </w:p>
        </w:tc>
        <w:tc>
          <w:tcPr>
            <w:tcW w:w="4500" w:type="dxa"/>
            <w:tcBorders>
              <w:bottom w:val="single" w:color="auto" w:sz="4" w:space="0"/>
            </w:tcBorders>
            <w:noWrap w:val="0"/>
            <w:vAlign w:val="center"/>
          </w:tcPr>
          <w:p w14:paraId="57F293D2">
            <w:pPr>
              <w:spacing w:line="400" w:lineRule="exact"/>
              <w:ind w:left="0" w:leftChars="0" w:firstLine="0" w:firstLineChars="0"/>
              <w:jc w:val="center"/>
              <w:rPr>
                <w:rFonts w:hint="eastAsia" w:ascii="楷体_GB2312" w:hAnsi="宋体" w:eastAsia="楷体_GB2312"/>
                <w:bCs/>
                <w:sz w:val="32"/>
                <w:szCs w:val="32"/>
                <w:lang w:val="en-US" w:eastAsia="zh-CN"/>
              </w:rPr>
            </w:pPr>
            <w:r>
              <w:rPr>
                <w:rFonts w:hint="eastAsia" w:ascii="楷体_GB2312" w:hAnsi="宋体" w:eastAsia="楷体_GB2312"/>
                <w:b/>
                <w:bCs w:val="0"/>
                <w:sz w:val="32"/>
                <w:szCs w:val="32"/>
                <w:lang w:val="en-US" w:eastAsia="zh-CN"/>
              </w:rPr>
              <w:t>谢宇</w:t>
            </w:r>
          </w:p>
        </w:tc>
      </w:tr>
    </w:tbl>
    <w:p w14:paraId="19E37CEE">
      <w:pPr>
        <w:spacing w:line="600" w:lineRule="exact"/>
        <w:jc w:val="center"/>
        <w:rPr>
          <w:rFonts w:hint="eastAsia" w:ascii="楷体_GB2312" w:eastAsia="楷体_GB2312"/>
          <w:spacing w:val="40"/>
          <w:sz w:val="32"/>
          <w:szCs w:val="32"/>
        </w:rPr>
      </w:pPr>
    </w:p>
    <w:tbl>
      <w:tblPr>
        <w:tblStyle w:val="13"/>
        <w:tblpPr w:leftFromText="180" w:rightFromText="180" w:vertAnchor="text" w:horzAnchor="page" w:tblpX="3194" w:tblpY="405"/>
        <w:tblOverlap w:val="never"/>
        <w:tblW w:w="0" w:type="auto"/>
        <w:tblInd w:w="0" w:type="dxa"/>
        <w:tblLayout w:type="fixed"/>
        <w:tblCellMar>
          <w:top w:w="0" w:type="dxa"/>
          <w:left w:w="108" w:type="dxa"/>
          <w:bottom w:w="0" w:type="dxa"/>
          <w:right w:w="108" w:type="dxa"/>
        </w:tblCellMar>
      </w:tblPr>
      <w:tblGrid>
        <w:gridCol w:w="2160"/>
        <w:gridCol w:w="4500"/>
      </w:tblGrid>
      <w:tr w14:paraId="039E42AE">
        <w:tblPrEx>
          <w:tblCellMar>
            <w:top w:w="0" w:type="dxa"/>
            <w:left w:w="108" w:type="dxa"/>
            <w:bottom w:w="0" w:type="dxa"/>
            <w:right w:w="108" w:type="dxa"/>
          </w:tblCellMar>
        </w:tblPrEx>
        <w:trPr>
          <w:trHeight w:val="924" w:hRule="exact"/>
        </w:trPr>
        <w:tc>
          <w:tcPr>
            <w:tcW w:w="2160" w:type="dxa"/>
            <w:noWrap w:val="0"/>
            <w:vAlign w:val="center"/>
          </w:tcPr>
          <w:p w14:paraId="29012644">
            <w:pPr>
              <w:spacing w:line="400" w:lineRule="exact"/>
              <w:ind w:left="0" w:leftChars="0" w:firstLine="0" w:firstLineChars="0"/>
              <w:jc w:val="center"/>
              <w:rPr>
                <w:rFonts w:hint="eastAsia" w:ascii="楷体_GB2312" w:hAnsi="宋体" w:eastAsia="楷体_GB2312"/>
                <w:b/>
                <w:bCs/>
                <w:sz w:val="32"/>
                <w:szCs w:val="32"/>
              </w:rPr>
            </w:pPr>
            <w:r>
              <w:rPr>
                <w:rFonts w:hint="eastAsia" w:ascii="楷体_GB2312" w:hAnsi="Times New Roman" w:eastAsia="楷体_GB2312" w:cs="Times New Roman"/>
                <w:b/>
                <w:sz w:val="32"/>
                <w:szCs w:val="32"/>
                <w:lang w:val="en-US" w:eastAsia="zh-CN"/>
              </w:rPr>
              <w:t>团 队 成 员</w:t>
            </w:r>
          </w:p>
        </w:tc>
        <w:tc>
          <w:tcPr>
            <w:tcW w:w="4500" w:type="dxa"/>
            <w:tcBorders>
              <w:bottom w:val="single" w:color="auto" w:sz="4" w:space="0"/>
            </w:tcBorders>
            <w:noWrap w:val="0"/>
            <w:vAlign w:val="center"/>
          </w:tcPr>
          <w:p w14:paraId="09B8F78B">
            <w:pPr>
              <w:spacing w:line="400" w:lineRule="exact"/>
              <w:ind w:left="0" w:leftChars="0" w:firstLine="0" w:firstLineChars="0"/>
              <w:jc w:val="center"/>
              <w:rPr>
                <w:rFonts w:hint="eastAsia" w:ascii="楷体_GB2312" w:hAnsi="宋体" w:eastAsia="楷体_GB2312"/>
                <w:b/>
                <w:bCs w:val="0"/>
                <w:sz w:val="32"/>
                <w:szCs w:val="32"/>
                <w:lang w:val="en-US" w:eastAsia="zh-CN"/>
              </w:rPr>
            </w:pPr>
            <w:r>
              <w:rPr>
                <w:rFonts w:hint="eastAsia" w:ascii="楷体_GB2312" w:hAnsi="宋体" w:eastAsia="楷体_GB2312"/>
                <w:b/>
                <w:bCs w:val="0"/>
                <w:sz w:val="32"/>
                <w:szCs w:val="32"/>
                <w:lang w:val="en-US" w:eastAsia="zh-CN"/>
              </w:rPr>
              <w:t>曹晓倩、伍锦琦、</w:t>
            </w:r>
          </w:p>
          <w:p w14:paraId="22704ABC">
            <w:pPr>
              <w:spacing w:line="400" w:lineRule="exact"/>
              <w:ind w:left="0" w:leftChars="0" w:firstLine="0" w:firstLineChars="0"/>
              <w:jc w:val="center"/>
              <w:rPr>
                <w:rFonts w:hint="default" w:ascii="楷体_GB2312" w:hAnsi="宋体" w:eastAsia="楷体_GB2312"/>
                <w:bCs/>
                <w:sz w:val="32"/>
                <w:szCs w:val="32"/>
                <w:lang w:val="en-US" w:eastAsia="zh-CN"/>
              </w:rPr>
            </w:pPr>
            <w:r>
              <w:rPr>
                <w:rFonts w:hint="eastAsia" w:ascii="楷体_GB2312" w:hAnsi="宋体" w:eastAsia="楷体_GB2312"/>
                <w:b/>
                <w:bCs w:val="0"/>
                <w:sz w:val="32"/>
                <w:szCs w:val="32"/>
                <w:lang w:val="en-US" w:eastAsia="zh-CN"/>
              </w:rPr>
              <w:t>谢耀宽、何军</w:t>
            </w:r>
          </w:p>
        </w:tc>
      </w:tr>
    </w:tbl>
    <w:p w14:paraId="1952E6A4">
      <w:pPr>
        <w:spacing w:line="600" w:lineRule="exact"/>
        <w:jc w:val="center"/>
        <w:rPr>
          <w:rFonts w:hint="eastAsia" w:ascii="楷体_GB2312" w:eastAsia="楷体_GB2312"/>
          <w:spacing w:val="40"/>
          <w:sz w:val="32"/>
          <w:szCs w:val="32"/>
        </w:rPr>
      </w:pPr>
    </w:p>
    <w:p w14:paraId="374EE6D7">
      <w:pPr>
        <w:spacing w:line="600" w:lineRule="exact"/>
        <w:jc w:val="center"/>
        <w:rPr>
          <w:rFonts w:hint="eastAsia" w:ascii="楷体_GB2312" w:eastAsia="楷体_GB2312"/>
          <w:spacing w:val="40"/>
          <w:sz w:val="32"/>
          <w:szCs w:val="32"/>
        </w:rPr>
      </w:pPr>
    </w:p>
    <w:tbl>
      <w:tblPr>
        <w:tblStyle w:val="13"/>
        <w:tblpPr w:leftFromText="180" w:rightFromText="180" w:vertAnchor="text" w:horzAnchor="page" w:tblpX="3194" w:tblpY="441"/>
        <w:tblOverlap w:val="never"/>
        <w:tblW w:w="0" w:type="auto"/>
        <w:tblInd w:w="0" w:type="dxa"/>
        <w:tblLayout w:type="fixed"/>
        <w:tblCellMar>
          <w:top w:w="0" w:type="dxa"/>
          <w:left w:w="108" w:type="dxa"/>
          <w:bottom w:w="0" w:type="dxa"/>
          <w:right w:w="108" w:type="dxa"/>
        </w:tblCellMar>
      </w:tblPr>
      <w:tblGrid>
        <w:gridCol w:w="2151"/>
        <w:gridCol w:w="4509"/>
      </w:tblGrid>
      <w:tr w14:paraId="408514E8">
        <w:tblPrEx>
          <w:tblCellMar>
            <w:top w:w="0" w:type="dxa"/>
            <w:left w:w="108" w:type="dxa"/>
            <w:bottom w:w="0" w:type="dxa"/>
            <w:right w:w="108" w:type="dxa"/>
          </w:tblCellMar>
        </w:tblPrEx>
        <w:trPr>
          <w:trHeight w:val="564" w:hRule="exact"/>
        </w:trPr>
        <w:tc>
          <w:tcPr>
            <w:tcW w:w="2151" w:type="dxa"/>
            <w:noWrap w:val="0"/>
            <w:vAlign w:val="center"/>
          </w:tcPr>
          <w:p w14:paraId="05923E66">
            <w:pPr>
              <w:spacing w:line="400" w:lineRule="exact"/>
              <w:ind w:left="0" w:leftChars="0" w:firstLine="0" w:firstLineChars="0"/>
              <w:jc w:val="center"/>
              <w:rPr>
                <w:rFonts w:hint="default" w:ascii="楷体_GB2312" w:hAnsi="宋体" w:eastAsia="楷体_GB2312"/>
                <w:b/>
                <w:bCs/>
                <w:sz w:val="32"/>
                <w:szCs w:val="32"/>
                <w:lang w:val="en-US" w:eastAsia="zh-CN"/>
              </w:rPr>
            </w:pPr>
            <w:r>
              <w:rPr>
                <w:rFonts w:hint="eastAsia" w:ascii="楷体_GB2312" w:hAnsi="Times New Roman" w:eastAsia="楷体_GB2312" w:cs="Times New Roman"/>
                <w:b/>
                <w:sz w:val="32"/>
                <w:szCs w:val="32"/>
                <w:lang w:val="en-US" w:eastAsia="zh-CN"/>
              </w:rPr>
              <w:t>指 导 老 师</w:t>
            </w:r>
          </w:p>
        </w:tc>
        <w:tc>
          <w:tcPr>
            <w:tcW w:w="4509" w:type="dxa"/>
            <w:tcBorders>
              <w:bottom w:val="single" w:color="auto" w:sz="4" w:space="0"/>
            </w:tcBorders>
            <w:noWrap w:val="0"/>
            <w:vAlign w:val="center"/>
          </w:tcPr>
          <w:p w14:paraId="7BDE657C">
            <w:pPr>
              <w:spacing w:line="400" w:lineRule="exact"/>
              <w:ind w:left="0" w:leftChars="0" w:firstLine="0" w:firstLineChars="0"/>
              <w:jc w:val="center"/>
              <w:rPr>
                <w:rFonts w:hint="default" w:ascii="楷体_GB2312" w:hAnsi="宋体" w:eastAsia="楷体_GB2312"/>
                <w:bCs/>
                <w:sz w:val="32"/>
                <w:szCs w:val="32"/>
                <w:lang w:val="en-US" w:eastAsia="zh-CN"/>
              </w:rPr>
            </w:pPr>
            <w:r>
              <w:rPr>
                <w:rFonts w:hint="eastAsia" w:ascii="楷体_GB2312" w:hAnsi="宋体" w:eastAsia="楷体_GB2312"/>
                <w:b/>
                <w:bCs w:val="0"/>
                <w:sz w:val="32"/>
                <w:szCs w:val="32"/>
                <w:lang w:val="en-US" w:eastAsia="zh-CN"/>
              </w:rPr>
              <w:t>陈旭红，</w:t>
            </w:r>
            <w:bookmarkStart w:id="215" w:name="_GoBack"/>
            <w:bookmarkEnd w:id="215"/>
            <w:r>
              <w:rPr>
                <w:rFonts w:hint="eastAsia" w:ascii="楷体_GB2312" w:hAnsi="宋体" w:eastAsia="楷体_GB2312"/>
                <w:b/>
                <w:bCs w:val="0"/>
                <w:sz w:val="32"/>
                <w:szCs w:val="32"/>
                <w:lang w:val="en-US" w:eastAsia="zh-CN"/>
              </w:rPr>
              <w:t>赖道辉</w:t>
            </w:r>
          </w:p>
        </w:tc>
      </w:tr>
    </w:tbl>
    <w:p w14:paraId="2AA99EAD">
      <w:pPr>
        <w:spacing w:line="600" w:lineRule="exact"/>
        <w:jc w:val="center"/>
        <w:rPr>
          <w:rFonts w:hint="eastAsia" w:ascii="楷体_GB2312" w:eastAsia="楷体_GB2312"/>
          <w:spacing w:val="40"/>
          <w:sz w:val="32"/>
          <w:szCs w:val="32"/>
        </w:rPr>
      </w:pPr>
    </w:p>
    <w:p w14:paraId="57422D55">
      <w:pPr>
        <w:spacing w:line="600" w:lineRule="exact"/>
        <w:jc w:val="center"/>
        <w:rPr>
          <w:rFonts w:hint="eastAsia" w:ascii="楷体_GB2312" w:eastAsia="楷体_GB2312"/>
          <w:spacing w:val="40"/>
          <w:sz w:val="32"/>
          <w:szCs w:val="32"/>
        </w:rPr>
      </w:pPr>
    </w:p>
    <w:p w14:paraId="74729DC7">
      <w:pPr>
        <w:spacing w:line="600" w:lineRule="exact"/>
        <w:jc w:val="both"/>
        <w:rPr>
          <w:rFonts w:hint="eastAsia" w:ascii="楷体_GB2312" w:eastAsia="楷体_GB2312"/>
          <w:spacing w:val="40"/>
          <w:sz w:val="32"/>
          <w:szCs w:val="32"/>
        </w:rPr>
      </w:pPr>
    </w:p>
    <w:p w14:paraId="60970F3A">
      <w:pPr>
        <w:spacing w:line="600" w:lineRule="exact"/>
        <w:jc w:val="both"/>
        <w:rPr>
          <w:rFonts w:hint="eastAsia" w:ascii="楷体_GB2312" w:eastAsia="楷体_GB2312"/>
          <w:spacing w:val="40"/>
          <w:sz w:val="32"/>
          <w:szCs w:val="32"/>
        </w:rPr>
      </w:pPr>
    </w:p>
    <w:p w14:paraId="02302F72">
      <w:pPr>
        <w:spacing w:line="600" w:lineRule="exact"/>
        <w:jc w:val="both"/>
        <w:rPr>
          <w:rFonts w:hint="eastAsia" w:ascii="楷体_GB2312" w:eastAsia="楷体_GB2312"/>
          <w:spacing w:val="40"/>
          <w:sz w:val="32"/>
          <w:szCs w:val="32"/>
        </w:rPr>
      </w:pPr>
    </w:p>
    <w:p w14:paraId="68DCC63B">
      <w:pPr>
        <w:spacing w:line="600" w:lineRule="exact"/>
        <w:jc w:val="center"/>
        <w:rPr>
          <w:rFonts w:hint="default" w:ascii="楷体_GB2312" w:hAnsi="楷体_GB2312" w:eastAsia="楷体_GB2312" w:cs="楷体_GB2312"/>
          <w:spacing w:val="40"/>
          <w:szCs w:val="32"/>
          <w:lang w:val="en-US" w:eastAsia="zh-CN"/>
        </w:rPr>
        <w:sectPr>
          <w:headerReference r:id="rId3" w:type="default"/>
          <w:headerReference r:id="rId4" w:type="even"/>
          <w:footerReference r:id="rId5" w:type="even"/>
          <w:pgSz w:w="11906" w:h="16838"/>
          <w:pgMar w:top="1440" w:right="1800" w:bottom="1440" w:left="1800" w:header="1191" w:footer="1134" w:gutter="0"/>
          <w:pgNumType w:fmt="numberInDash"/>
          <w:cols w:space="425" w:num="1"/>
          <w:docGrid w:type="lines" w:linePitch="312" w:charSpace="0"/>
        </w:sectPr>
      </w:pPr>
      <w:r>
        <w:rPr>
          <w:rFonts w:hint="eastAsia" w:ascii="楷体_GB2312" w:eastAsia="楷体_GB2312"/>
          <w:spacing w:val="40"/>
          <w:sz w:val="32"/>
          <w:szCs w:val="32"/>
          <w:lang w:val="en-US" w:eastAsia="zh-CN"/>
        </w:rPr>
        <w:t xml:space="preserve"> 2026年10月</w:t>
      </w:r>
    </w:p>
    <w:sdt>
      <w:sdtPr>
        <w:rPr>
          <w:rFonts w:ascii="宋体" w:hAnsi="宋体" w:eastAsia="宋体" w:cstheme="minorBidi"/>
          <w:kern w:val="2"/>
          <w:sz w:val="21"/>
          <w:szCs w:val="24"/>
          <w:lang w:val="en-US" w:eastAsia="zh-CN" w:bidi="ar-SA"/>
        </w:rPr>
        <w:id w:val="147474222"/>
        <w15:color w:val="DBDBDB"/>
        <w:docPartObj>
          <w:docPartGallery w:val="Table of Contents"/>
          <w:docPartUnique/>
        </w:docPartObj>
      </w:sdtPr>
      <w:sdtEndPr>
        <w:rPr>
          <w:rFonts w:hint="eastAsia" w:ascii="黑体" w:hAnsi="黑体" w:eastAsia="黑体" w:cs="黑体"/>
          <w:bCs/>
          <w:i w:val="0"/>
          <w:iCs w:val="0"/>
          <w:color w:val="000000"/>
          <w:spacing w:val="0"/>
          <w:w w:val="100"/>
          <w:kern w:val="0"/>
          <w:sz w:val="24"/>
          <w:szCs w:val="44"/>
          <w:vertAlign w:val="baseline"/>
          <w:lang w:val="en-US" w:eastAsia="zh-CN" w:bidi="ar"/>
        </w:rPr>
      </w:sdtEndPr>
      <w:sdtContent>
        <w:p w14:paraId="65453DBE">
          <w:pPr>
            <w:spacing w:before="0" w:beforeLines="0" w:after="0" w:afterLines="0" w:line="240" w:lineRule="auto"/>
            <w:ind w:left="0" w:leftChars="0" w:right="0" w:rightChars="0" w:firstLine="0" w:firstLineChars="0"/>
            <w:jc w:val="center"/>
            <w:rPr>
              <w:sz w:val="52"/>
              <w:szCs w:val="52"/>
            </w:rPr>
          </w:pPr>
          <w:bookmarkStart w:id="0" w:name="_Toc9774"/>
          <w:r>
            <w:rPr>
              <w:rFonts w:ascii="宋体" w:hAnsi="宋体" w:eastAsia="宋体"/>
              <w:sz w:val="52"/>
              <w:szCs w:val="52"/>
            </w:rPr>
            <w:t>目录</w:t>
          </w:r>
        </w:p>
        <w:p w14:paraId="1E676600">
          <w:pPr>
            <w:pStyle w:val="9"/>
            <w:tabs>
              <w:tab w:val="right" w:leader="dot" w:pos="8306"/>
            </w:tabs>
          </w:pPr>
          <w:r>
            <w:rPr>
              <w:rFonts w:hint="eastAsia" w:ascii="黑体" w:hAnsi="黑体" w:eastAsia="黑体" w:cs="黑体"/>
              <w:b/>
              <w:bCs/>
              <w:i w:val="0"/>
              <w:iCs w:val="0"/>
              <w:color w:val="000000"/>
              <w:spacing w:val="0"/>
              <w:w w:val="100"/>
              <w:sz w:val="44"/>
              <w:szCs w:val="44"/>
              <w:vertAlign w:val="baseline"/>
            </w:rPr>
            <w:fldChar w:fldCharType="begin"/>
          </w:r>
          <w:r>
            <w:rPr>
              <w:rFonts w:hint="eastAsia" w:ascii="黑体" w:hAnsi="黑体" w:eastAsia="黑体" w:cs="黑体"/>
              <w:b/>
              <w:bCs/>
              <w:i w:val="0"/>
              <w:iCs w:val="0"/>
              <w:color w:val="000000"/>
              <w:spacing w:val="0"/>
              <w:w w:val="100"/>
              <w:sz w:val="44"/>
              <w:szCs w:val="44"/>
              <w:vertAlign w:val="baseline"/>
            </w:rPr>
            <w:instrText xml:space="preserve">TOC \o "1-9" \h \u </w:instrText>
          </w:r>
          <w:r>
            <w:rPr>
              <w:rFonts w:hint="eastAsia" w:ascii="黑体" w:hAnsi="黑体" w:eastAsia="黑体" w:cs="黑体"/>
              <w:b/>
              <w:bCs/>
              <w:i w:val="0"/>
              <w:iCs w:val="0"/>
              <w:color w:val="000000"/>
              <w:spacing w:val="0"/>
              <w:w w:val="100"/>
              <w:sz w:val="44"/>
              <w:szCs w:val="44"/>
              <w:vertAlign w:val="baseline"/>
            </w:rPr>
            <w:fldChar w:fldCharType="separate"/>
          </w: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_Toc6348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44"/>
              <w:vertAlign w:val="baseline"/>
            </w:rPr>
            <w:t>第一章 执行摘要</w:t>
          </w:r>
          <w:r>
            <w:tab/>
          </w:r>
          <w:r>
            <w:fldChar w:fldCharType="begin"/>
          </w:r>
          <w:r>
            <w:instrText xml:space="preserve"> PAGEREF _Toc6348 \h </w:instrText>
          </w:r>
          <w:r>
            <w:fldChar w:fldCharType="separate"/>
          </w:r>
          <w:r>
            <w:t>1</w:t>
          </w:r>
          <w:r>
            <w:fldChar w:fldCharType="end"/>
          </w:r>
          <w:r>
            <w:rPr>
              <w:rFonts w:hint="eastAsia" w:ascii="黑体" w:hAnsi="黑体" w:eastAsia="黑体" w:cs="黑体"/>
              <w:bCs/>
              <w:i w:val="0"/>
              <w:iCs w:val="0"/>
              <w:color w:val="000000"/>
              <w:spacing w:val="0"/>
              <w:w w:val="100"/>
              <w:szCs w:val="44"/>
              <w:vertAlign w:val="baseline"/>
            </w:rPr>
            <w:fldChar w:fldCharType="end"/>
          </w:r>
        </w:p>
        <w:p w14:paraId="7EF73D3D">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_Toc11658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1.1 商业计划</w:t>
          </w:r>
          <w:r>
            <w:tab/>
          </w:r>
          <w:r>
            <w:fldChar w:fldCharType="begin"/>
          </w:r>
          <w:r>
            <w:instrText xml:space="preserve"> PAGEREF _Toc11658 \h </w:instrText>
          </w:r>
          <w:r>
            <w:fldChar w:fldCharType="separate"/>
          </w:r>
          <w:r>
            <w:t>1</w:t>
          </w:r>
          <w:r>
            <w:fldChar w:fldCharType="end"/>
          </w:r>
          <w:r>
            <w:rPr>
              <w:rFonts w:hint="eastAsia" w:ascii="黑体" w:hAnsi="黑体" w:eastAsia="黑体" w:cs="黑体"/>
              <w:bCs/>
              <w:i w:val="0"/>
              <w:iCs w:val="0"/>
              <w:color w:val="000000"/>
              <w:spacing w:val="0"/>
              <w:w w:val="100"/>
              <w:szCs w:val="44"/>
              <w:vertAlign w:val="baseline"/>
            </w:rPr>
            <w:fldChar w:fldCharType="end"/>
          </w:r>
        </w:p>
        <w:p w14:paraId="08661B84">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_Toc13470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1.2 产品与技术</w:t>
          </w:r>
          <w:r>
            <w:tab/>
          </w:r>
          <w:r>
            <w:fldChar w:fldCharType="begin"/>
          </w:r>
          <w:r>
            <w:instrText xml:space="preserve"> PAGEREF _Toc13470 \h </w:instrText>
          </w:r>
          <w:r>
            <w:fldChar w:fldCharType="separate"/>
          </w:r>
          <w:r>
            <w:t>1</w:t>
          </w:r>
          <w:r>
            <w:fldChar w:fldCharType="end"/>
          </w:r>
          <w:r>
            <w:rPr>
              <w:rFonts w:hint="eastAsia" w:ascii="黑体" w:hAnsi="黑体" w:eastAsia="黑体" w:cs="黑体"/>
              <w:bCs/>
              <w:i w:val="0"/>
              <w:iCs w:val="0"/>
              <w:color w:val="000000"/>
              <w:spacing w:val="0"/>
              <w:w w:val="100"/>
              <w:szCs w:val="44"/>
              <w:vertAlign w:val="baseline"/>
            </w:rPr>
            <w:fldChar w:fldCharType="end"/>
          </w:r>
        </w:p>
        <w:p w14:paraId="4747DDA2">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_Toc18011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1.3 团队战略</w:t>
          </w:r>
          <w:r>
            <w:tab/>
          </w:r>
          <w:r>
            <w:fldChar w:fldCharType="begin"/>
          </w:r>
          <w:r>
            <w:instrText xml:space="preserve"> PAGEREF _Toc18011 \h </w:instrText>
          </w:r>
          <w:r>
            <w:fldChar w:fldCharType="separate"/>
          </w:r>
          <w:r>
            <w:t>2</w:t>
          </w:r>
          <w:r>
            <w:fldChar w:fldCharType="end"/>
          </w:r>
          <w:r>
            <w:rPr>
              <w:rFonts w:hint="eastAsia" w:ascii="黑体" w:hAnsi="黑体" w:eastAsia="黑体" w:cs="黑体"/>
              <w:bCs/>
              <w:i w:val="0"/>
              <w:iCs w:val="0"/>
              <w:color w:val="000000"/>
              <w:spacing w:val="0"/>
              <w:w w:val="100"/>
              <w:szCs w:val="44"/>
              <w:vertAlign w:val="baseline"/>
            </w:rPr>
            <w:fldChar w:fldCharType="end"/>
          </w:r>
        </w:p>
        <w:p w14:paraId="77D5009A">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_Toc3204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1.4 市场分析</w:t>
          </w:r>
          <w:r>
            <w:tab/>
          </w:r>
          <w:r>
            <w:fldChar w:fldCharType="begin"/>
          </w:r>
          <w:r>
            <w:instrText xml:space="preserve"> PAGEREF _Toc3204 \h </w:instrText>
          </w:r>
          <w:r>
            <w:fldChar w:fldCharType="separate"/>
          </w:r>
          <w:r>
            <w:t>3</w:t>
          </w:r>
          <w:r>
            <w:fldChar w:fldCharType="end"/>
          </w:r>
          <w:r>
            <w:rPr>
              <w:rFonts w:hint="eastAsia" w:ascii="黑体" w:hAnsi="黑体" w:eastAsia="黑体" w:cs="黑体"/>
              <w:bCs/>
              <w:i w:val="0"/>
              <w:iCs w:val="0"/>
              <w:color w:val="000000"/>
              <w:spacing w:val="0"/>
              <w:w w:val="100"/>
              <w:szCs w:val="44"/>
              <w:vertAlign w:val="baseline"/>
            </w:rPr>
            <w:fldChar w:fldCharType="end"/>
          </w:r>
        </w:p>
        <w:p w14:paraId="3DF23C6A">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_Toc30254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1.5 投资分析</w:t>
          </w:r>
          <w:r>
            <w:tab/>
          </w:r>
          <w:r>
            <w:fldChar w:fldCharType="begin"/>
          </w:r>
          <w:r>
            <w:instrText xml:space="preserve"> PAGEREF _Toc30254 \h </w:instrText>
          </w:r>
          <w:r>
            <w:fldChar w:fldCharType="separate"/>
          </w:r>
          <w:r>
            <w:t>4</w:t>
          </w:r>
          <w:r>
            <w:fldChar w:fldCharType="end"/>
          </w:r>
          <w:r>
            <w:rPr>
              <w:rFonts w:hint="eastAsia" w:ascii="黑体" w:hAnsi="黑体" w:eastAsia="黑体" w:cs="黑体"/>
              <w:bCs/>
              <w:i w:val="0"/>
              <w:iCs w:val="0"/>
              <w:color w:val="000000"/>
              <w:spacing w:val="0"/>
              <w:w w:val="100"/>
              <w:szCs w:val="44"/>
              <w:vertAlign w:val="baseline"/>
            </w:rPr>
            <w:fldChar w:fldCharType="end"/>
          </w:r>
        </w:p>
        <w:p w14:paraId="25E7BF38">
          <w:pPr>
            <w:pStyle w:val="11"/>
            <w:tabs>
              <w:tab w:val="right" w:leader="dot" w:pos="8306"/>
            </w:tabs>
            <w:ind w:left="0" w:leftChars="0" w:firstLine="0" w:firstLineChars="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_Toc16690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szCs w:val="44"/>
            </w:rPr>
            <w:t>第二章 产品与技术</w:t>
          </w:r>
          <w:r>
            <w:tab/>
          </w:r>
          <w:r>
            <w:fldChar w:fldCharType="begin"/>
          </w:r>
          <w:r>
            <w:instrText xml:space="preserve"> PAGEREF _Toc16690 \h </w:instrText>
          </w:r>
          <w:r>
            <w:fldChar w:fldCharType="separate"/>
          </w:r>
          <w:r>
            <w:t>5</w:t>
          </w:r>
          <w:r>
            <w:fldChar w:fldCharType="end"/>
          </w:r>
          <w:r>
            <w:rPr>
              <w:rFonts w:hint="eastAsia" w:ascii="黑体" w:hAnsi="黑体" w:eastAsia="黑体" w:cs="黑体"/>
              <w:bCs/>
              <w:i w:val="0"/>
              <w:iCs w:val="0"/>
              <w:color w:val="000000"/>
              <w:spacing w:val="0"/>
              <w:w w:val="100"/>
              <w:szCs w:val="44"/>
              <w:vertAlign w:val="baseline"/>
            </w:rPr>
            <w:fldChar w:fldCharType="end"/>
          </w:r>
        </w:p>
        <w:p w14:paraId="5D494F1D">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_Toc21198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2.1 技术背景</w:t>
          </w:r>
          <w:r>
            <w:tab/>
          </w:r>
          <w:r>
            <w:fldChar w:fldCharType="begin"/>
          </w:r>
          <w:r>
            <w:instrText xml:space="preserve"> PAGEREF _Toc21198 \h </w:instrText>
          </w:r>
          <w:r>
            <w:fldChar w:fldCharType="separate"/>
          </w:r>
          <w:r>
            <w:t>5</w:t>
          </w:r>
          <w:r>
            <w:fldChar w:fldCharType="end"/>
          </w:r>
          <w:r>
            <w:rPr>
              <w:rFonts w:hint="eastAsia" w:ascii="黑体" w:hAnsi="黑体" w:eastAsia="黑体" w:cs="黑体"/>
              <w:bCs/>
              <w:i w:val="0"/>
              <w:iCs w:val="0"/>
              <w:color w:val="000000"/>
              <w:spacing w:val="0"/>
              <w:w w:val="100"/>
              <w:szCs w:val="44"/>
              <w:vertAlign w:val="baseline"/>
            </w:rPr>
            <w:fldChar w:fldCharType="end"/>
          </w:r>
        </w:p>
        <w:p w14:paraId="0371ABAC">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_Toc26100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2.2 核心技术创新：多角度强光辅助成像技术</w:t>
          </w:r>
          <w:r>
            <w:tab/>
          </w:r>
          <w:r>
            <w:fldChar w:fldCharType="begin"/>
          </w:r>
          <w:r>
            <w:instrText xml:space="preserve"> PAGEREF _Toc26100 \h </w:instrText>
          </w:r>
          <w:r>
            <w:fldChar w:fldCharType="separate"/>
          </w:r>
          <w:r>
            <w:t>5</w:t>
          </w:r>
          <w:r>
            <w:fldChar w:fldCharType="end"/>
          </w:r>
          <w:r>
            <w:rPr>
              <w:rFonts w:hint="eastAsia" w:ascii="黑体" w:hAnsi="黑体" w:eastAsia="黑体" w:cs="黑体"/>
              <w:bCs/>
              <w:i w:val="0"/>
              <w:iCs w:val="0"/>
              <w:color w:val="000000"/>
              <w:spacing w:val="0"/>
              <w:w w:val="100"/>
              <w:szCs w:val="44"/>
              <w:vertAlign w:val="baseline"/>
            </w:rPr>
            <w:fldChar w:fldCharType="end"/>
          </w:r>
        </w:p>
        <w:p w14:paraId="04C59919">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_Toc13508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2.3 算法技术路线：三级联动算法架构</w:t>
          </w:r>
          <w:r>
            <w:tab/>
          </w:r>
          <w:r>
            <w:fldChar w:fldCharType="begin"/>
          </w:r>
          <w:r>
            <w:instrText xml:space="preserve"> PAGEREF _Toc13508 \h </w:instrText>
          </w:r>
          <w:r>
            <w:fldChar w:fldCharType="separate"/>
          </w:r>
          <w:r>
            <w:t>6</w:t>
          </w:r>
          <w:r>
            <w:fldChar w:fldCharType="end"/>
          </w:r>
          <w:r>
            <w:rPr>
              <w:rFonts w:hint="eastAsia" w:ascii="黑体" w:hAnsi="黑体" w:eastAsia="黑体" w:cs="黑体"/>
              <w:bCs/>
              <w:i w:val="0"/>
              <w:iCs w:val="0"/>
              <w:color w:val="000000"/>
              <w:spacing w:val="0"/>
              <w:w w:val="100"/>
              <w:szCs w:val="44"/>
              <w:vertAlign w:val="baseline"/>
            </w:rPr>
            <w:fldChar w:fldCharType="end"/>
          </w:r>
        </w:p>
        <w:p w14:paraId="234DDB00">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_Toc20223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2.4 配套检测能力</w:t>
          </w:r>
          <w:r>
            <w:tab/>
          </w:r>
          <w:r>
            <w:fldChar w:fldCharType="begin"/>
          </w:r>
          <w:r>
            <w:instrText xml:space="preserve"> PAGEREF _Toc20223 \h </w:instrText>
          </w:r>
          <w:r>
            <w:fldChar w:fldCharType="separate"/>
          </w:r>
          <w:r>
            <w:t>7</w:t>
          </w:r>
          <w:r>
            <w:fldChar w:fldCharType="end"/>
          </w:r>
          <w:r>
            <w:rPr>
              <w:rFonts w:hint="eastAsia" w:ascii="黑体" w:hAnsi="黑体" w:eastAsia="黑体" w:cs="黑体"/>
              <w:bCs/>
              <w:i w:val="0"/>
              <w:iCs w:val="0"/>
              <w:color w:val="000000"/>
              <w:spacing w:val="0"/>
              <w:w w:val="100"/>
              <w:szCs w:val="44"/>
              <w:vertAlign w:val="baseline"/>
            </w:rPr>
            <w:fldChar w:fldCharType="end"/>
          </w:r>
        </w:p>
        <w:p w14:paraId="312A9362">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_Toc19960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2.5 系统组成与落地方案</w:t>
          </w:r>
          <w:r>
            <w:tab/>
          </w:r>
          <w:r>
            <w:fldChar w:fldCharType="begin"/>
          </w:r>
          <w:r>
            <w:instrText xml:space="preserve"> PAGEREF _Toc19960 \h </w:instrText>
          </w:r>
          <w:r>
            <w:fldChar w:fldCharType="separate"/>
          </w:r>
          <w:r>
            <w:t>8</w:t>
          </w:r>
          <w:r>
            <w:fldChar w:fldCharType="end"/>
          </w:r>
          <w:r>
            <w:rPr>
              <w:rFonts w:hint="eastAsia" w:ascii="黑体" w:hAnsi="黑体" w:eastAsia="黑体" w:cs="黑体"/>
              <w:bCs/>
              <w:i w:val="0"/>
              <w:iCs w:val="0"/>
              <w:color w:val="000000"/>
              <w:spacing w:val="0"/>
              <w:w w:val="100"/>
              <w:szCs w:val="44"/>
              <w:vertAlign w:val="baseline"/>
            </w:rPr>
            <w:fldChar w:fldCharType="end"/>
          </w:r>
        </w:p>
        <w:p w14:paraId="6836F5BC">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_Toc767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2.6 整体工作流程</w:t>
          </w:r>
          <w:r>
            <w:tab/>
          </w:r>
          <w:r>
            <w:fldChar w:fldCharType="begin"/>
          </w:r>
          <w:r>
            <w:instrText xml:space="preserve"> PAGEREF _Toc767 \h </w:instrText>
          </w:r>
          <w:r>
            <w:fldChar w:fldCharType="separate"/>
          </w:r>
          <w:r>
            <w:t>9</w:t>
          </w:r>
          <w:r>
            <w:fldChar w:fldCharType="end"/>
          </w:r>
          <w:r>
            <w:rPr>
              <w:rFonts w:hint="eastAsia" w:ascii="黑体" w:hAnsi="黑体" w:eastAsia="黑体" w:cs="黑体"/>
              <w:bCs/>
              <w:i w:val="0"/>
              <w:iCs w:val="0"/>
              <w:color w:val="000000"/>
              <w:spacing w:val="0"/>
              <w:w w:val="100"/>
              <w:szCs w:val="44"/>
              <w:vertAlign w:val="baseline"/>
            </w:rPr>
            <w:fldChar w:fldCharType="end"/>
          </w:r>
        </w:p>
        <w:p w14:paraId="25436CCE">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_Toc15683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2.7 应用前景</w:t>
          </w:r>
          <w:r>
            <w:tab/>
          </w:r>
          <w:r>
            <w:fldChar w:fldCharType="begin"/>
          </w:r>
          <w:r>
            <w:instrText xml:space="preserve"> PAGEREF _Toc15683 \h </w:instrText>
          </w:r>
          <w:r>
            <w:fldChar w:fldCharType="separate"/>
          </w:r>
          <w:r>
            <w:t>10</w:t>
          </w:r>
          <w:r>
            <w:fldChar w:fldCharType="end"/>
          </w:r>
          <w:r>
            <w:rPr>
              <w:rFonts w:hint="eastAsia" w:ascii="黑体" w:hAnsi="黑体" w:eastAsia="黑体" w:cs="黑体"/>
              <w:bCs/>
              <w:i w:val="0"/>
              <w:iCs w:val="0"/>
              <w:color w:val="000000"/>
              <w:spacing w:val="0"/>
              <w:w w:val="100"/>
              <w:szCs w:val="44"/>
              <w:vertAlign w:val="baseline"/>
            </w:rPr>
            <w:fldChar w:fldCharType="end"/>
          </w:r>
        </w:p>
        <w:p w14:paraId="22568A2C">
          <w:pPr>
            <w:pStyle w:val="11"/>
            <w:tabs>
              <w:tab w:val="right" w:leader="dot" w:pos="8306"/>
            </w:tabs>
            <w:ind w:left="0" w:leftChars="0" w:firstLine="0" w:firstLineChars="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_Toc29915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44"/>
              <w:lang w:val="en-US" w:eastAsia="zh-CN"/>
            </w:rPr>
            <w:t>第三章 市场分析</w:t>
          </w:r>
          <w:r>
            <w:tab/>
          </w:r>
          <w:r>
            <w:fldChar w:fldCharType="begin"/>
          </w:r>
          <w:r>
            <w:instrText xml:space="preserve"> PAGEREF _Toc29915 \h </w:instrText>
          </w:r>
          <w:r>
            <w:fldChar w:fldCharType="separate"/>
          </w:r>
          <w:r>
            <w:t>11</w:t>
          </w:r>
          <w:r>
            <w:fldChar w:fldCharType="end"/>
          </w:r>
          <w:r>
            <w:rPr>
              <w:rFonts w:hint="eastAsia" w:ascii="黑体" w:hAnsi="黑体" w:eastAsia="黑体" w:cs="黑体"/>
              <w:bCs/>
              <w:i w:val="0"/>
              <w:iCs w:val="0"/>
              <w:color w:val="000000"/>
              <w:spacing w:val="0"/>
              <w:w w:val="100"/>
              <w:szCs w:val="44"/>
              <w:vertAlign w:val="baseline"/>
            </w:rPr>
            <w:fldChar w:fldCharType="end"/>
          </w:r>
        </w:p>
        <w:p w14:paraId="5ADE3388">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_Toc924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3.1 市场背景</w:t>
          </w:r>
          <w:r>
            <w:tab/>
          </w:r>
          <w:r>
            <w:fldChar w:fldCharType="begin"/>
          </w:r>
          <w:r>
            <w:instrText xml:space="preserve"> PAGEREF _Toc924 \h </w:instrText>
          </w:r>
          <w:r>
            <w:fldChar w:fldCharType="separate"/>
          </w:r>
          <w:r>
            <w:t>11</w:t>
          </w:r>
          <w:r>
            <w:fldChar w:fldCharType="end"/>
          </w:r>
          <w:r>
            <w:rPr>
              <w:rFonts w:hint="eastAsia" w:ascii="黑体" w:hAnsi="黑体" w:eastAsia="黑体" w:cs="黑体"/>
              <w:bCs/>
              <w:i w:val="0"/>
              <w:iCs w:val="0"/>
              <w:color w:val="000000"/>
              <w:spacing w:val="0"/>
              <w:w w:val="100"/>
              <w:szCs w:val="44"/>
              <w:vertAlign w:val="baseline"/>
            </w:rPr>
            <w:fldChar w:fldCharType="end"/>
          </w:r>
        </w:p>
        <w:p w14:paraId="4C0594DD">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_Toc15535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3.2 市场痛点</w:t>
          </w:r>
          <w:r>
            <w:tab/>
          </w:r>
          <w:r>
            <w:fldChar w:fldCharType="begin"/>
          </w:r>
          <w:r>
            <w:instrText xml:space="preserve"> PAGEREF _Toc15535 \h </w:instrText>
          </w:r>
          <w:r>
            <w:fldChar w:fldCharType="separate"/>
          </w:r>
          <w:r>
            <w:t>13</w:t>
          </w:r>
          <w:r>
            <w:fldChar w:fldCharType="end"/>
          </w:r>
          <w:r>
            <w:rPr>
              <w:rFonts w:hint="eastAsia" w:ascii="黑体" w:hAnsi="黑体" w:eastAsia="黑体" w:cs="黑体"/>
              <w:bCs/>
              <w:i w:val="0"/>
              <w:iCs w:val="0"/>
              <w:color w:val="000000"/>
              <w:spacing w:val="0"/>
              <w:w w:val="100"/>
              <w:szCs w:val="44"/>
              <w:vertAlign w:val="baseline"/>
            </w:rPr>
            <w:fldChar w:fldCharType="end"/>
          </w:r>
        </w:p>
        <w:p w14:paraId="17C40E56">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_Toc4004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3.3 市场容量与结构</w:t>
          </w:r>
          <w:r>
            <w:tab/>
          </w:r>
          <w:r>
            <w:fldChar w:fldCharType="begin"/>
          </w:r>
          <w:r>
            <w:instrText xml:space="preserve"> PAGEREF _Toc4004 \h </w:instrText>
          </w:r>
          <w:r>
            <w:fldChar w:fldCharType="separate"/>
          </w:r>
          <w:r>
            <w:t>14</w:t>
          </w:r>
          <w:r>
            <w:fldChar w:fldCharType="end"/>
          </w:r>
          <w:r>
            <w:rPr>
              <w:rFonts w:hint="eastAsia" w:ascii="黑体" w:hAnsi="黑体" w:eastAsia="黑体" w:cs="黑体"/>
              <w:bCs/>
              <w:i w:val="0"/>
              <w:iCs w:val="0"/>
              <w:color w:val="000000"/>
              <w:spacing w:val="0"/>
              <w:w w:val="100"/>
              <w:szCs w:val="44"/>
              <w:vertAlign w:val="baseline"/>
            </w:rPr>
            <w:fldChar w:fldCharType="end"/>
          </w:r>
        </w:p>
        <w:p w14:paraId="0963E7B7">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_Toc20905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3.4 行业竞争分析</w:t>
          </w:r>
          <w:r>
            <w:tab/>
          </w:r>
          <w:r>
            <w:fldChar w:fldCharType="begin"/>
          </w:r>
          <w:r>
            <w:instrText xml:space="preserve"> PAGEREF _Toc20905 \h </w:instrText>
          </w:r>
          <w:r>
            <w:fldChar w:fldCharType="separate"/>
          </w:r>
          <w:r>
            <w:t>16</w:t>
          </w:r>
          <w:r>
            <w:fldChar w:fldCharType="end"/>
          </w:r>
          <w:r>
            <w:rPr>
              <w:rFonts w:hint="eastAsia" w:ascii="黑体" w:hAnsi="黑体" w:eastAsia="黑体" w:cs="黑体"/>
              <w:bCs/>
              <w:i w:val="0"/>
              <w:iCs w:val="0"/>
              <w:color w:val="000000"/>
              <w:spacing w:val="0"/>
              <w:w w:val="100"/>
              <w:szCs w:val="44"/>
              <w:vertAlign w:val="baseline"/>
            </w:rPr>
            <w:fldChar w:fldCharType="end"/>
          </w:r>
        </w:p>
        <w:p w14:paraId="6F5864AE">
          <w:pPr>
            <w:pStyle w:val="11"/>
            <w:tabs>
              <w:tab w:val="right" w:leader="dot" w:pos="8306"/>
            </w:tabs>
            <w:ind w:firstLine="210" w:firstLineChars="1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_Toc31390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szCs w:val="36"/>
            </w:rPr>
            <w:t>3.5 战略目标</w:t>
          </w:r>
          <w:r>
            <w:tab/>
          </w:r>
          <w:r>
            <w:fldChar w:fldCharType="begin"/>
          </w:r>
          <w:r>
            <w:instrText xml:space="preserve"> PAGEREF _Toc31390 \h </w:instrText>
          </w:r>
          <w:r>
            <w:fldChar w:fldCharType="separate"/>
          </w:r>
          <w:r>
            <w:t>17</w:t>
          </w:r>
          <w:r>
            <w:fldChar w:fldCharType="end"/>
          </w:r>
          <w:r>
            <w:rPr>
              <w:rFonts w:hint="eastAsia" w:ascii="黑体" w:hAnsi="黑体" w:eastAsia="黑体" w:cs="黑体"/>
              <w:bCs/>
              <w:i w:val="0"/>
              <w:iCs w:val="0"/>
              <w:color w:val="000000"/>
              <w:spacing w:val="0"/>
              <w:w w:val="100"/>
              <w:szCs w:val="44"/>
              <w:vertAlign w:val="baseline"/>
            </w:rPr>
            <w:fldChar w:fldCharType="end"/>
          </w:r>
        </w:p>
        <w:p w14:paraId="0B3958C6">
          <w:pPr>
            <w:pStyle w:val="9"/>
            <w:tabs>
              <w:tab w:val="right" w:leader="dot" w:pos="8306"/>
            </w:tabs>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_Toc5027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44"/>
              <w:vertAlign w:val="baseline"/>
            </w:rPr>
            <w:t>第四章 商业模式</w:t>
          </w:r>
          <w:r>
            <w:tab/>
          </w:r>
          <w:r>
            <w:fldChar w:fldCharType="begin"/>
          </w:r>
          <w:r>
            <w:instrText xml:space="preserve"> PAGEREF _Toc5027 \h </w:instrText>
          </w:r>
          <w:r>
            <w:fldChar w:fldCharType="separate"/>
          </w:r>
          <w:r>
            <w:t>20</w:t>
          </w:r>
          <w:r>
            <w:fldChar w:fldCharType="end"/>
          </w:r>
          <w:r>
            <w:rPr>
              <w:rFonts w:hint="eastAsia" w:ascii="黑体" w:hAnsi="黑体" w:eastAsia="黑体" w:cs="黑体"/>
              <w:bCs/>
              <w:i w:val="0"/>
              <w:iCs w:val="0"/>
              <w:color w:val="000000"/>
              <w:spacing w:val="0"/>
              <w:w w:val="100"/>
              <w:szCs w:val="44"/>
              <w:vertAlign w:val="baseline"/>
            </w:rPr>
            <w:fldChar w:fldCharType="end"/>
          </w:r>
        </w:p>
        <w:p w14:paraId="2AC42526">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_Toc10773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4.1 项目商业模式</w:t>
          </w:r>
          <w:r>
            <w:tab/>
          </w:r>
          <w:r>
            <w:fldChar w:fldCharType="begin"/>
          </w:r>
          <w:r>
            <w:instrText xml:space="preserve"> PAGEREF _Toc10773 \h </w:instrText>
          </w:r>
          <w:r>
            <w:fldChar w:fldCharType="separate"/>
          </w:r>
          <w:r>
            <w:t>20</w:t>
          </w:r>
          <w:r>
            <w:fldChar w:fldCharType="end"/>
          </w:r>
          <w:r>
            <w:rPr>
              <w:rFonts w:hint="eastAsia" w:ascii="黑体" w:hAnsi="黑体" w:eastAsia="黑体" w:cs="黑体"/>
              <w:bCs/>
              <w:i w:val="0"/>
              <w:iCs w:val="0"/>
              <w:color w:val="000000"/>
              <w:spacing w:val="0"/>
              <w:w w:val="100"/>
              <w:szCs w:val="44"/>
              <w:vertAlign w:val="baseline"/>
            </w:rPr>
            <w:fldChar w:fldCharType="end"/>
          </w:r>
        </w:p>
        <w:p w14:paraId="5D55E3FC">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_Toc13305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4.2 项目盈利模式</w:t>
          </w:r>
          <w:r>
            <w:tab/>
          </w:r>
          <w:r>
            <w:fldChar w:fldCharType="begin"/>
          </w:r>
          <w:r>
            <w:instrText xml:space="preserve"> PAGEREF _Toc13305 \h </w:instrText>
          </w:r>
          <w:r>
            <w:fldChar w:fldCharType="separate"/>
          </w:r>
          <w:r>
            <w:t>20</w:t>
          </w:r>
          <w:r>
            <w:fldChar w:fldCharType="end"/>
          </w:r>
          <w:r>
            <w:rPr>
              <w:rFonts w:hint="eastAsia" w:ascii="黑体" w:hAnsi="黑体" w:eastAsia="黑体" w:cs="黑体"/>
              <w:bCs/>
              <w:i w:val="0"/>
              <w:iCs w:val="0"/>
              <w:color w:val="000000"/>
              <w:spacing w:val="0"/>
              <w:w w:val="100"/>
              <w:szCs w:val="44"/>
              <w:vertAlign w:val="baseline"/>
            </w:rPr>
            <w:fldChar w:fldCharType="end"/>
          </w:r>
        </w:p>
        <w:p w14:paraId="3012D173">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_Toc23324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4.3 项目业务实施流程</w:t>
          </w:r>
          <w:r>
            <w:tab/>
          </w:r>
          <w:r>
            <w:fldChar w:fldCharType="begin"/>
          </w:r>
          <w:r>
            <w:instrText xml:space="preserve"> PAGEREF _Toc23324 \h </w:instrText>
          </w:r>
          <w:r>
            <w:fldChar w:fldCharType="separate"/>
          </w:r>
          <w:r>
            <w:t>22</w:t>
          </w:r>
          <w:r>
            <w:fldChar w:fldCharType="end"/>
          </w:r>
          <w:r>
            <w:rPr>
              <w:rFonts w:hint="eastAsia" w:ascii="黑体" w:hAnsi="黑体" w:eastAsia="黑体" w:cs="黑体"/>
              <w:bCs/>
              <w:i w:val="0"/>
              <w:iCs w:val="0"/>
              <w:color w:val="000000"/>
              <w:spacing w:val="0"/>
              <w:w w:val="100"/>
              <w:szCs w:val="44"/>
              <w:vertAlign w:val="baseline"/>
            </w:rPr>
            <w:fldChar w:fldCharType="end"/>
          </w:r>
        </w:p>
        <w:p w14:paraId="65E94220">
          <w:pPr>
            <w:pStyle w:val="9"/>
            <w:tabs>
              <w:tab w:val="right" w:leader="dot" w:pos="8306"/>
            </w:tabs>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_Toc20352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44"/>
              <w:vertAlign w:val="baseline"/>
            </w:rPr>
            <w:t>第五章 市场营销</w:t>
          </w:r>
          <w:r>
            <w:tab/>
          </w:r>
          <w:r>
            <w:fldChar w:fldCharType="begin"/>
          </w:r>
          <w:r>
            <w:instrText xml:space="preserve"> PAGEREF _Toc20352 \h </w:instrText>
          </w:r>
          <w:r>
            <w:fldChar w:fldCharType="separate"/>
          </w:r>
          <w:r>
            <w:t>24</w:t>
          </w:r>
          <w:r>
            <w:fldChar w:fldCharType="end"/>
          </w:r>
          <w:r>
            <w:rPr>
              <w:rFonts w:hint="eastAsia" w:ascii="黑体" w:hAnsi="黑体" w:eastAsia="黑体" w:cs="黑体"/>
              <w:bCs/>
              <w:i w:val="0"/>
              <w:iCs w:val="0"/>
              <w:color w:val="000000"/>
              <w:spacing w:val="0"/>
              <w:w w:val="100"/>
              <w:szCs w:val="44"/>
              <w:vertAlign w:val="baseline"/>
            </w:rPr>
            <w:fldChar w:fldCharType="end"/>
          </w:r>
        </w:p>
        <w:p w14:paraId="447E697A">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_Toc12945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5.1 营销目标</w:t>
          </w:r>
          <w:r>
            <w:tab/>
          </w:r>
          <w:r>
            <w:fldChar w:fldCharType="begin"/>
          </w:r>
          <w:r>
            <w:instrText xml:space="preserve"> PAGEREF _Toc12945 \h </w:instrText>
          </w:r>
          <w:r>
            <w:fldChar w:fldCharType="separate"/>
          </w:r>
          <w:r>
            <w:t>24</w:t>
          </w:r>
          <w:r>
            <w:fldChar w:fldCharType="end"/>
          </w:r>
          <w:r>
            <w:rPr>
              <w:rFonts w:hint="eastAsia" w:ascii="黑体" w:hAnsi="黑体" w:eastAsia="黑体" w:cs="黑体"/>
              <w:bCs/>
              <w:i w:val="0"/>
              <w:iCs w:val="0"/>
              <w:color w:val="000000"/>
              <w:spacing w:val="0"/>
              <w:w w:val="100"/>
              <w:szCs w:val="44"/>
              <w:vertAlign w:val="baseline"/>
            </w:rPr>
            <w:fldChar w:fldCharType="end"/>
          </w:r>
        </w:p>
        <w:p w14:paraId="2DAB081B">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_Toc32255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5.2 营销策略</w:t>
          </w:r>
          <w:r>
            <w:tab/>
          </w:r>
          <w:r>
            <w:fldChar w:fldCharType="begin"/>
          </w:r>
          <w:r>
            <w:instrText xml:space="preserve"> PAGEREF _Toc32255 \h </w:instrText>
          </w:r>
          <w:r>
            <w:fldChar w:fldCharType="separate"/>
          </w:r>
          <w:r>
            <w:t>24</w:t>
          </w:r>
          <w:r>
            <w:fldChar w:fldCharType="end"/>
          </w:r>
          <w:r>
            <w:rPr>
              <w:rFonts w:hint="eastAsia" w:ascii="黑体" w:hAnsi="黑体" w:eastAsia="黑体" w:cs="黑体"/>
              <w:bCs/>
              <w:i w:val="0"/>
              <w:iCs w:val="0"/>
              <w:color w:val="000000"/>
              <w:spacing w:val="0"/>
              <w:w w:val="100"/>
              <w:szCs w:val="44"/>
              <w:vertAlign w:val="baseline"/>
            </w:rPr>
            <w:fldChar w:fldCharType="end"/>
          </w:r>
        </w:p>
        <w:p w14:paraId="574D2607">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_Toc15391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5.3 产品策略</w:t>
          </w:r>
          <w:r>
            <w:tab/>
          </w:r>
          <w:r>
            <w:fldChar w:fldCharType="begin"/>
          </w:r>
          <w:r>
            <w:instrText xml:space="preserve"> PAGEREF _Toc15391 \h </w:instrText>
          </w:r>
          <w:r>
            <w:fldChar w:fldCharType="separate"/>
          </w:r>
          <w:r>
            <w:t>26</w:t>
          </w:r>
          <w:r>
            <w:fldChar w:fldCharType="end"/>
          </w:r>
          <w:r>
            <w:rPr>
              <w:rFonts w:hint="eastAsia" w:ascii="黑体" w:hAnsi="黑体" w:eastAsia="黑体" w:cs="黑体"/>
              <w:bCs/>
              <w:i w:val="0"/>
              <w:iCs w:val="0"/>
              <w:color w:val="000000"/>
              <w:spacing w:val="0"/>
              <w:w w:val="100"/>
              <w:szCs w:val="44"/>
              <w:vertAlign w:val="baseline"/>
            </w:rPr>
            <w:fldChar w:fldCharType="end"/>
          </w:r>
        </w:p>
        <w:p w14:paraId="7404F022">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_Toc15277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5.4 营销问题与解决方案</w:t>
          </w:r>
          <w:r>
            <w:tab/>
          </w:r>
          <w:r>
            <w:fldChar w:fldCharType="begin"/>
          </w:r>
          <w:r>
            <w:instrText xml:space="preserve"> PAGEREF _Toc15277 \h </w:instrText>
          </w:r>
          <w:r>
            <w:fldChar w:fldCharType="separate"/>
          </w:r>
          <w:r>
            <w:t>27</w:t>
          </w:r>
          <w:r>
            <w:fldChar w:fldCharType="end"/>
          </w:r>
          <w:r>
            <w:rPr>
              <w:rFonts w:hint="eastAsia" w:ascii="黑体" w:hAnsi="黑体" w:eastAsia="黑体" w:cs="黑体"/>
              <w:bCs/>
              <w:i w:val="0"/>
              <w:iCs w:val="0"/>
              <w:color w:val="000000"/>
              <w:spacing w:val="0"/>
              <w:w w:val="100"/>
              <w:szCs w:val="44"/>
              <w:vertAlign w:val="baseline"/>
            </w:rPr>
            <w:fldChar w:fldCharType="end"/>
          </w:r>
        </w:p>
        <w:p w14:paraId="5C253BD3">
          <w:pPr>
            <w:pStyle w:val="9"/>
            <w:tabs>
              <w:tab w:val="right" w:leader="dot" w:pos="8306"/>
            </w:tabs>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_Toc31541 </w:instrText>
          </w:r>
          <w:r>
            <w:rPr>
              <w:rFonts w:hint="eastAsia" w:ascii="黑体" w:hAnsi="黑体" w:eastAsia="黑体" w:cs="黑体"/>
              <w:bCs/>
              <w:i w:val="0"/>
              <w:iCs w:val="0"/>
              <w:spacing w:val="0"/>
              <w:w w:val="100"/>
              <w:szCs w:val="44"/>
              <w:vertAlign w:val="baseline"/>
            </w:rPr>
            <w:fldChar w:fldCharType="separate"/>
          </w:r>
          <w:r>
            <w:rPr>
              <w:rFonts w:hint="eastAsia" w:ascii="黑体" w:hAnsi="宋体" w:eastAsia="黑体" w:cs="黑体"/>
              <w:bCs/>
              <w:i w:val="0"/>
              <w:iCs w:val="0"/>
              <w:spacing w:val="0"/>
              <w:w w:val="100"/>
              <w:szCs w:val="44"/>
              <w:vertAlign w:val="baseline"/>
              <w:lang w:val="en-US" w:eastAsia="zh-CN"/>
            </w:rPr>
            <w:t xml:space="preserve">第六章 </w:t>
          </w:r>
          <w:r>
            <w:rPr>
              <w:rFonts w:ascii="黑体" w:hAnsi="宋体" w:eastAsia="黑体" w:cs="黑体"/>
              <w:bCs/>
              <w:i w:val="0"/>
              <w:iCs w:val="0"/>
              <w:spacing w:val="0"/>
              <w:w w:val="100"/>
              <w:szCs w:val="44"/>
              <w:vertAlign w:val="baseline"/>
            </w:rPr>
            <w:t>投资分析</w:t>
          </w:r>
          <w:r>
            <w:tab/>
          </w:r>
          <w:r>
            <w:fldChar w:fldCharType="begin"/>
          </w:r>
          <w:r>
            <w:instrText xml:space="preserve"> PAGEREF _Toc31541 \h </w:instrText>
          </w:r>
          <w:r>
            <w:fldChar w:fldCharType="separate"/>
          </w:r>
          <w:r>
            <w:t>28</w:t>
          </w:r>
          <w:r>
            <w:fldChar w:fldCharType="end"/>
          </w:r>
          <w:r>
            <w:rPr>
              <w:rFonts w:hint="eastAsia" w:ascii="黑体" w:hAnsi="黑体" w:eastAsia="黑体" w:cs="黑体"/>
              <w:bCs/>
              <w:i w:val="0"/>
              <w:iCs w:val="0"/>
              <w:color w:val="000000"/>
              <w:spacing w:val="0"/>
              <w:w w:val="100"/>
              <w:szCs w:val="44"/>
              <w:vertAlign w:val="baseline"/>
            </w:rPr>
            <w:fldChar w:fldCharType="end"/>
          </w:r>
        </w:p>
        <w:p w14:paraId="43B106DD">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_Toc10722 </w:instrText>
          </w:r>
          <w:r>
            <w:rPr>
              <w:rFonts w:hint="eastAsia" w:ascii="黑体" w:hAnsi="黑体" w:eastAsia="黑体" w:cs="黑体"/>
              <w:bCs/>
              <w:i w:val="0"/>
              <w:iCs w:val="0"/>
              <w:spacing w:val="0"/>
              <w:w w:val="100"/>
              <w:szCs w:val="44"/>
              <w:vertAlign w:val="baseline"/>
            </w:rPr>
            <w:fldChar w:fldCharType="separate"/>
          </w:r>
          <w:r>
            <w:rPr>
              <w:rFonts w:hint="eastAsia" w:ascii="黑体" w:hAnsi="宋体" w:eastAsia="黑体" w:cs="黑体"/>
              <w:bCs/>
              <w:i w:val="0"/>
              <w:iCs w:val="0"/>
              <w:spacing w:val="0"/>
              <w:w w:val="100"/>
              <w:szCs w:val="36"/>
              <w:vertAlign w:val="baseline"/>
            </w:rPr>
            <w:t>6.1 投资可行性分析</w:t>
          </w:r>
          <w:r>
            <w:tab/>
          </w:r>
          <w:r>
            <w:fldChar w:fldCharType="begin"/>
          </w:r>
          <w:r>
            <w:instrText xml:space="preserve"> PAGEREF _Toc10722 \h </w:instrText>
          </w:r>
          <w:r>
            <w:fldChar w:fldCharType="separate"/>
          </w:r>
          <w:r>
            <w:t>28</w:t>
          </w:r>
          <w:r>
            <w:fldChar w:fldCharType="end"/>
          </w:r>
          <w:r>
            <w:rPr>
              <w:rFonts w:hint="eastAsia" w:ascii="黑体" w:hAnsi="黑体" w:eastAsia="黑体" w:cs="黑体"/>
              <w:bCs/>
              <w:i w:val="0"/>
              <w:iCs w:val="0"/>
              <w:color w:val="000000"/>
              <w:spacing w:val="0"/>
              <w:w w:val="100"/>
              <w:szCs w:val="44"/>
              <w:vertAlign w:val="baseline"/>
            </w:rPr>
            <w:fldChar w:fldCharType="end"/>
          </w:r>
        </w:p>
        <w:p w14:paraId="73D52286">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_Toc21541 </w:instrText>
          </w:r>
          <w:r>
            <w:rPr>
              <w:rFonts w:hint="eastAsia" w:ascii="黑体" w:hAnsi="黑体" w:eastAsia="黑体" w:cs="黑体"/>
              <w:bCs/>
              <w:i w:val="0"/>
              <w:iCs w:val="0"/>
              <w:spacing w:val="0"/>
              <w:w w:val="100"/>
              <w:szCs w:val="44"/>
              <w:vertAlign w:val="baseline"/>
            </w:rPr>
            <w:fldChar w:fldCharType="separate"/>
          </w:r>
          <w:r>
            <w:rPr>
              <w:rFonts w:hint="eastAsia" w:ascii="黑体" w:hAnsi="宋体" w:eastAsia="黑体" w:cs="黑体"/>
              <w:bCs/>
              <w:i w:val="0"/>
              <w:iCs w:val="0"/>
              <w:spacing w:val="0"/>
              <w:w w:val="100"/>
              <w:szCs w:val="36"/>
              <w:vertAlign w:val="baseline"/>
            </w:rPr>
            <w:t>6.2 投资策略</w:t>
          </w:r>
          <w:r>
            <w:tab/>
          </w:r>
          <w:r>
            <w:fldChar w:fldCharType="begin"/>
          </w:r>
          <w:r>
            <w:instrText xml:space="preserve"> PAGEREF _Toc21541 \h </w:instrText>
          </w:r>
          <w:r>
            <w:fldChar w:fldCharType="separate"/>
          </w:r>
          <w:r>
            <w:t>29</w:t>
          </w:r>
          <w:r>
            <w:fldChar w:fldCharType="end"/>
          </w:r>
          <w:r>
            <w:rPr>
              <w:rFonts w:hint="eastAsia" w:ascii="黑体" w:hAnsi="黑体" w:eastAsia="黑体" w:cs="黑体"/>
              <w:bCs/>
              <w:i w:val="0"/>
              <w:iCs w:val="0"/>
              <w:color w:val="000000"/>
              <w:spacing w:val="0"/>
              <w:w w:val="100"/>
              <w:szCs w:val="44"/>
              <w:vertAlign w:val="baseline"/>
            </w:rPr>
            <w:fldChar w:fldCharType="end"/>
          </w:r>
        </w:p>
        <w:p w14:paraId="1B3E1941">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_Toc14436 </w:instrText>
          </w:r>
          <w:r>
            <w:rPr>
              <w:rFonts w:hint="eastAsia" w:ascii="黑体" w:hAnsi="黑体" w:eastAsia="黑体" w:cs="黑体"/>
              <w:bCs/>
              <w:i w:val="0"/>
              <w:iCs w:val="0"/>
              <w:spacing w:val="0"/>
              <w:w w:val="100"/>
              <w:szCs w:val="44"/>
              <w:vertAlign w:val="baseline"/>
            </w:rPr>
            <w:fldChar w:fldCharType="separate"/>
          </w:r>
          <w:r>
            <w:rPr>
              <w:rFonts w:hint="eastAsia" w:ascii="黑体" w:hAnsi="宋体" w:eastAsia="黑体" w:cs="黑体"/>
              <w:bCs/>
              <w:i w:val="0"/>
              <w:iCs w:val="0"/>
              <w:spacing w:val="0"/>
              <w:w w:val="100"/>
              <w:szCs w:val="36"/>
              <w:vertAlign w:val="baseline"/>
            </w:rPr>
            <w:t>6.3 市场风险</w:t>
          </w:r>
          <w:r>
            <w:tab/>
          </w:r>
          <w:r>
            <w:fldChar w:fldCharType="begin"/>
          </w:r>
          <w:r>
            <w:instrText xml:space="preserve"> PAGEREF _Toc14436 \h </w:instrText>
          </w:r>
          <w:r>
            <w:fldChar w:fldCharType="separate"/>
          </w:r>
          <w:r>
            <w:t>30</w:t>
          </w:r>
          <w:r>
            <w:fldChar w:fldCharType="end"/>
          </w:r>
          <w:r>
            <w:rPr>
              <w:rFonts w:hint="eastAsia" w:ascii="黑体" w:hAnsi="黑体" w:eastAsia="黑体" w:cs="黑体"/>
              <w:bCs/>
              <w:i w:val="0"/>
              <w:iCs w:val="0"/>
              <w:color w:val="000000"/>
              <w:spacing w:val="0"/>
              <w:w w:val="100"/>
              <w:szCs w:val="44"/>
              <w:vertAlign w:val="baseline"/>
            </w:rPr>
            <w:fldChar w:fldCharType="end"/>
          </w:r>
        </w:p>
        <w:p w14:paraId="3399C39C">
          <w:pPr>
            <w:pStyle w:val="9"/>
            <w:tabs>
              <w:tab w:val="right" w:leader="dot" w:pos="8306"/>
            </w:tabs>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_Toc16080 </w:instrText>
          </w:r>
          <w:r>
            <w:rPr>
              <w:rFonts w:hint="eastAsia" w:ascii="黑体" w:hAnsi="黑体" w:eastAsia="黑体" w:cs="黑体"/>
              <w:bCs/>
              <w:i w:val="0"/>
              <w:iCs w:val="0"/>
              <w:spacing w:val="0"/>
              <w:w w:val="100"/>
              <w:szCs w:val="44"/>
              <w:vertAlign w:val="baseline"/>
            </w:rPr>
            <w:fldChar w:fldCharType="separate"/>
          </w:r>
          <w:r>
            <w:rPr>
              <w:rFonts w:hint="eastAsia" w:ascii="黑体" w:hAnsi="宋体" w:eastAsia="黑体" w:cs="黑体"/>
              <w:bCs/>
              <w:i w:val="0"/>
              <w:iCs w:val="0"/>
              <w:spacing w:val="0"/>
              <w:w w:val="100"/>
              <w:szCs w:val="44"/>
              <w:vertAlign w:val="baseline"/>
              <w:lang w:val="en-US" w:eastAsia="zh-CN"/>
            </w:rPr>
            <w:t xml:space="preserve">第七章 </w:t>
          </w:r>
          <w:r>
            <w:rPr>
              <w:rFonts w:hint="eastAsia" w:ascii="黑体" w:hAnsi="宋体" w:eastAsia="黑体" w:cs="黑体"/>
              <w:bCs/>
              <w:i w:val="0"/>
              <w:iCs w:val="0"/>
              <w:spacing w:val="0"/>
              <w:w w:val="100"/>
              <w:szCs w:val="44"/>
              <w:vertAlign w:val="baseline"/>
            </w:rPr>
            <w:t>生产管理</w:t>
          </w:r>
          <w:r>
            <w:tab/>
          </w:r>
          <w:r>
            <w:fldChar w:fldCharType="begin"/>
          </w:r>
          <w:r>
            <w:instrText xml:space="preserve"> PAGEREF _Toc16080 \h </w:instrText>
          </w:r>
          <w:r>
            <w:fldChar w:fldCharType="separate"/>
          </w:r>
          <w:r>
            <w:t>32</w:t>
          </w:r>
          <w:r>
            <w:fldChar w:fldCharType="end"/>
          </w:r>
          <w:r>
            <w:rPr>
              <w:rFonts w:hint="eastAsia" w:ascii="黑体" w:hAnsi="黑体" w:eastAsia="黑体" w:cs="黑体"/>
              <w:bCs/>
              <w:i w:val="0"/>
              <w:iCs w:val="0"/>
              <w:color w:val="000000"/>
              <w:spacing w:val="0"/>
              <w:w w:val="100"/>
              <w:szCs w:val="44"/>
              <w:vertAlign w:val="baseline"/>
            </w:rPr>
            <w:fldChar w:fldCharType="end"/>
          </w:r>
        </w:p>
        <w:p w14:paraId="64EC44D9">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_Toc17493 </w:instrText>
          </w:r>
          <w:r>
            <w:rPr>
              <w:rFonts w:hint="eastAsia" w:ascii="黑体" w:hAnsi="黑体" w:eastAsia="黑体" w:cs="黑体"/>
              <w:bCs/>
              <w:i w:val="0"/>
              <w:iCs w:val="0"/>
              <w:spacing w:val="0"/>
              <w:w w:val="100"/>
              <w:szCs w:val="44"/>
              <w:vertAlign w:val="baseline"/>
            </w:rPr>
            <w:fldChar w:fldCharType="separate"/>
          </w:r>
          <w:r>
            <w:rPr>
              <w:rFonts w:hint="eastAsia" w:ascii="黑体" w:hAnsi="宋体" w:eastAsia="黑体" w:cs="黑体"/>
              <w:bCs/>
              <w:i w:val="0"/>
              <w:iCs w:val="0"/>
              <w:spacing w:val="0"/>
              <w:w w:val="100"/>
              <w:szCs w:val="36"/>
              <w:vertAlign w:val="baseline"/>
            </w:rPr>
            <w:t>7.1 生产布局规划</w:t>
          </w:r>
          <w:r>
            <w:tab/>
          </w:r>
          <w:r>
            <w:fldChar w:fldCharType="begin"/>
          </w:r>
          <w:r>
            <w:instrText xml:space="preserve"> PAGEREF _Toc17493 \h </w:instrText>
          </w:r>
          <w:r>
            <w:fldChar w:fldCharType="separate"/>
          </w:r>
          <w:r>
            <w:t>32</w:t>
          </w:r>
          <w:r>
            <w:fldChar w:fldCharType="end"/>
          </w:r>
          <w:r>
            <w:rPr>
              <w:rFonts w:hint="eastAsia" w:ascii="黑体" w:hAnsi="黑体" w:eastAsia="黑体" w:cs="黑体"/>
              <w:bCs/>
              <w:i w:val="0"/>
              <w:iCs w:val="0"/>
              <w:color w:val="000000"/>
              <w:spacing w:val="0"/>
              <w:w w:val="100"/>
              <w:szCs w:val="44"/>
              <w:vertAlign w:val="baseline"/>
            </w:rPr>
            <w:fldChar w:fldCharType="end"/>
          </w:r>
        </w:p>
        <w:p w14:paraId="612EDD38">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_Toc28698 </w:instrText>
          </w:r>
          <w:r>
            <w:rPr>
              <w:rFonts w:hint="eastAsia" w:ascii="黑体" w:hAnsi="黑体" w:eastAsia="黑体" w:cs="黑体"/>
              <w:bCs/>
              <w:i w:val="0"/>
              <w:iCs w:val="0"/>
              <w:spacing w:val="0"/>
              <w:w w:val="100"/>
              <w:szCs w:val="44"/>
              <w:vertAlign w:val="baseline"/>
            </w:rPr>
            <w:fldChar w:fldCharType="separate"/>
          </w:r>
          <w:r>
            <w:rPr>
              <w:rFonts w:hint="eastAsia" w:ascii="黑体" w:hAnsi="宋体" w:eastAsia="黑体" w:cs="黑体"/>
              <w:bCs/>
              <w:i w:val="0"/>
              <w:iCs w:val="0"/>
              <w:spacing w:val="0"/>
              <w:w w:val="100"/>
              <w:szCs w:val="36"/>
              <w:vertAlign w:val="baseline"/>
            </w:rPr>
            <w:t>7.2 合作伙伴管理与全生命周期运营</w:t>
          </w:r>
          <w:r>
            <w:tab/>
          </w:r>
          <w:r>
            <w:fldChar w:fldCharType="begin"/>
          </w:r>
          <w:r>
            <w:instrText xml:space="preserve"> PAGEREF _Toc28698 \h </w:instrText>
          </w:r>
          <w:r>
            <w:fldChar w:fldCharType="separate"/>
          </w:r>
          <w:r>
            <w:t>32</w:t>
          </w:r>
          <w:r>
            <w:fldChar w:fldCharType="end"/>
          </w:r>
          <w:r>
            <w:rPr>
              <w:rFonts w:hint="eastAsia" w:ascii="黑体" w:hAnsi="黑体" w:eastAsia="黑体" w:cs="黑体"/>
              <w:bCs/>
              <w:i w:val="0"/>
              <w:iCs w:val="0"/>
              <w:color w:val="000000"/>
              <w:spacing w:val="0"/>
              <w:w w:val="100"/>
              <w:szCs w:val="44"/>
              <w:vertAlign w:val="baseline"/>
            </w:rPr>
            <w:fldChar w:fldCharType="end"/>
          </w:r>
        </w:p>
        <w:p w14:paraId="2C9C5B01">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_Toc8873 </w:instrText>
          </w:r>
          <w:r>
            <w:rPr>
              <w:rFonts w:hint="eastAsia" w:ascii="黑体" w:hAnsi="黑体" w:eastAsia="黑体" w:cs="黑体"/>
              <w:bCs/>
              <w:i w:val="0"/>
              <w:iCs w:val="0"/>
              <w:spacing w:val="0"/>
              <w:w w:val="100"/>
              <w:szCs w:val="44"/>
              <w:vertAlign w:val="baseline"/>
            </w:rPr>
            <w:fldChar w:fldCharType="separate"/>
          </w:r>
          <w:r>
            <w:rPr>
              <w:rFonts w:hint="eastAsia" w:ascii="黑体" w:hAnsi="宋体" w:eastAsia="黑体" w:cs="黑体"/>
              <w:bCs/>
              <w:i w:val="0"/>
              <w:iCs w:val="0"/>
              <w:spacing w:val="0"/>
              <w:w w:val="100"/>
              <w:szCs w:val="36"/>
              <w:vertAlign w:val="baseline"/>
            </w:rPr>
            <w:t>7.3 未来发展规划</w:t>
          </w:r>
          <w:r>
            <w:tab/>
          </w:r>
          <w:r>
            <w:fldChar w:fldCharType="begin"/>
          </w:r>
          <w:r>
            <w:instrText xml:space="preserve"> PAGEREF _Toc8873 \h </w:instrText>
          </w:r>
          <w:r>
            <w:fldChar w:fldCharType="separate"/>
          </w:r>
          <w:r>
            <w:t>34</w:t>
          </w:r>
          <w:r>
            <w:fldChar w:fldCharType="end"/>
          </w:r>
          <w:r>
            <w:rPr>
              <w:rFonts w:hint="eastAsia" w:ascii="黑体" w:hAnsi="黑体" w:eastAsia="黑体" w:cs="黑体"/>
              <w:bCs/>
              <w:i w:val="0"/>
              <w:iCs w:val="0"/>
              <w:color w:val="000000"/>
              <w:spacing w:val="0"/>
              <w:w w:val="100"/>
              <w:szCs w:val="44"/>
              <w:vertAlign w:val="baseline"/>
            </w:rPr>
            <w:fldChar w:fldCharType="end"/>
          </w:r>
        </w:p>
        <w:p w14:paraId="4C92AA5E">
          <w:pPr>
            <w:pStyle w:val="9"/>
            <w:tabs>
              <w:tab w:val="right" w:leader="dot" w:pos="8306"/>
            </w:tabs>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_Toc32017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44"/>
              <w:vertAlign w:val="baseline"/>
            </w:rPr>
            <w:t>第八章 投资可行性分析</w:t>
          </w:r>
          <w:r>
            <w:tab/>
          </w:r>
          <w:r>
            <w:fldChar w:fldCharType="begin"/>
          </w:r>
          <w:r>
            <w:instrText xml:space="preserve"> PAGEREF _Toc32017 \h </w:instrText>
          </w:r>
          <w:r>
            <w:fldChar w:fldCharType="separate"/>
          </w:r>
          <w:r>
            <w:t>36</w:t>
          </w:r>
          <w:r>
            <w:fldChar w:fldCharType="end"/>
          </w:r>
          <w:r>
            <w:rPr>
              <w:rFonts w:hint="eastAsia" w:ascii="黑体" w:hAnsi="黑体" w:eastAsia="黑体" w:cs="黑体"/>
              <w:bCs/>
              <w:i w:val="0"/>
              <w:iCs w:val="0"/>
              <w:color w:val="000000"/>
              <w:spacing w:val="0"/>
              <w:w w:val="100"/>
              <w:szCs w:val="44"/>
              <w:vertAlign w:val="baseline"/>
            </w:rPr>
            <w:fldChar w:fldCharType="end"/>
          </w:r>
        </w:p>
        <w:p w14:paraId="40708ED0">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_Toc3580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8.1 股本结构与规模</w:t>
          </w:r>
          <w:r>
            <w:tab/>
          </w:r>
          <w:r>
            <w:fldChar w:fldCharType="begin"/>
          </w:r>
          <w:r>
            <w:instrText xml:space="preserve"> PAGEREF _Toc3580 \h </w:instrText>
          </w:r>
          <w:r>
            <w:fldChar w:fldCharType="separate"/>
          </w:r>
          <w:r>
            <w:t>36</w:t>
          </w:r>
          <w:r>
            <w:fldChar w:fldCharType="end"/>
          </w:r>
          <w:r>
            <w:rPr>
              <w:rFonts w:hint="eastAsia" w:ascii="黑体" w:hAnsi="黑体" w:eastAsia="黑体" w:cs="黑体"/>
              <w:bCs/>
              <w:i w:val="0"/>
              <w:iCs w:val="0"/>
              <w:color w:val="000000"/>
              <w:spacing w:val="0"/>
              <w:w w:val="100"/>
              <w:szCs w:val="44"/>
              <w:vertAlign w:val="baseline"/>
            </w:rPr>
            <w:fldChar w:fldCharType="end"/>
          </w:r>
        </w:p>
        <w:p w14:paraId="669E1448">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_Toc11817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8.2 资金运用</w:t>
          </w:r>
          <w:r>
            <w:tab/>
          </w:r>
          <w:r>
            <w:fldChar w:fldCharType="begin"/>
          </w:r>
          <w:r>
            <w:instrText xml:space="preserve"> PAGEREF _Toc11817 \h </w:instrText>
          </w:r>
          <w:r>
            <w:fldChar w:fldCharType="separate"/>
          </w:r>
          <w:r>
            <w:t>37</w:t>
          </w:r>
          <w:r>
            <w:fldChar w:fldCharType="end"/>
          </w:r>
          <w:r>
            <w:rPr>
              <w:rFonts w:hint="eastAsia" w:ascii="黑体" w:hAnsi="黑体" w:eastAsia="黑体" w:cs="黑体"/>
              <w:bCs/>
              <w:i w:val="0"/>
              <w:iCs w:val="0"/>
              <w:color w:val="000000"/>
              <w:spacing w:val="0"/>
              <w:w w:val="100"/>
              <w:szCs w:val="44"/>
              <w:vertAlign w:val="baseline"/>
            </w:rPr>
            <w:fldChar w:fldCharType="end"/>
          </w:r>
        </w:p>
        <w:p w14:paraId="3BCC7D53">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_Toc4067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8.3 未来五年生产成本及利税计算</w:t>
          </w:r>
          <w:r>
            <w:tab/>
          </w:r>
          <w:r>
            <w:fldChar w:fldCharType="begin"/>
          </w:r>
          <w:r>
            <w:instrText xml:space="preserve"> PAGEREF _Toc4067 \h </w:instrText>
          </w:r>
          <w:r>
            <w:fldChar w:fldCharType="separate"/>
          </w:r>
          <w:r>
            <w:t>38</w:t>
          </w:r>
          <w:r>
            <w:fldChar w:fldCharType="end"/>
          </w:r>
          <w:r>
            <w:rPr>
              <w:rFonts w:hint="eastAsia" w:ascii="黑体" w:hAnsi="黑体" w:eastAsia="黑体" w:cs="黑体"/>
              <w:bCs/>
              <w:i w:val="0"/>
              <w:iCs w:val="0"/>
              <w:color w:val="000000"/>
              <w:spacing w:val="0"/>
              <w:w w:val="100"/>
              <w:szCs w:val="44"/>
              <w:vertAlign w:val="baseline"/>
            </w:rPr>
            <w:fldChar w:fldCharType="end"/>
          </w:r>
        </w:p>
        <w:p w14:paraId="376EE202">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_Toc1821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8.4 财务分析</w:t>
          </w:r>
          <w:r>
            <w:tab/>
          </w:r>
          <w:r>
            <w:fldChar w:fldCharType="begin"/>
          </w:r>
          <w:r>
            <w:instrText xml:space="preserve"> PAGEREF _Toc1821 \h </w:instrText>
          </w:r>
          <w:r>
            <w:fldChar w:fldCharType="separate"/>
          </w:r>
          <w:r>
            <w:t>39</w:t>
          </w:r>
          <w:r>
            <w:fldChar w:fldCharType="end"/>
          </w:r>
          <w:r>
            <w:rPr>
              <w:rFonts w:hint="eastAsia" w:ascii="黑体" w:hAnsi="黑体" w:eastAsia="黑体" w:cs="黑体"/>
              <w:bCs/>
              <w:i w:val="0"/>
              <w:iCs w:val="0"/>
              <w:color w:val="000000"/>
              <w:spacing w:val="0"/>
              <w:w w:val="100"/>
              <w:szCs w:val="44"/>
              <w:vertAlign w:val="baseline"/>
            </w:rPr>
            <w:fldChar w:fldCharType="end"/>
          </w:r>
        </w:p>
        <w:p w14:paraId="62F7C3FC">
          <w:pPr>
            <w:pStyle w:val="9"/>
            <w:tabs>
              <w:tab w:val="right" w:leader="dot" w:pos="8306"/>
            </w:tabs>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_Toc16551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44"/>
              <w:vertAlign w:val="baseline"/>
            </w:rPr>
            <w:t>第九章 关键风险评估与控制</w:t>
          </w:r>
          <w:r>
            <w:tab/>
          </w:r>
          <w:r>
            <w:fldChar w:fldCharType="begin"/>
          </w:r>
          <w:r>
            <w:instrText xml:space="preserve"> PAGEREF _Toc16551 \h </w:instrText>
          </w:r>
          <w:r>
            <w:fldChar w:fldCharType="separate"/>
          </w:r>
          <w:r>
            <w:t>40</w:t>
          </w:r>
          <w:r>
            <w:fldChar w:fldCharType="end"/>
          </w:r>
          <w:r>
            <w:rPr>
              <w:rFonts w:hint="eastAsia" w:ascii="黑体" w:hAnsi="黑体" w:eastAsia="黑体" w:cs="黑体"/>
              <w:bCs/>
              <w:i w:val="0"/>
              <w:iCs w:val="0"/>
              <w:color w:val="000000"/>
              <w:spacing w:val="0"/>
              <w:w w:val="100"/>
              <w:szCs w:val="44"/>
              <w:vertAlign w:val="baseline"/>
            </w:rPr>
            <w:fldChar w:fldCharType="end"/>
          </w:r>
        </w:p>
        <w:p w14:paraId="5426D666">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_Toc21821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9.1 风险总体分析</w:t>
          </w:r>
          <w:r>
            <w:tab/>
          </w:r>
          <w:r>
            <w:fldChar w:fldCharType="begin"/>
          </w:r>
          <w:r>
            <w:instrText xml:space="preserve"> PAGEREF _Toc21821 \h </w:instrText>
          </w:r>
          <w:r>
            <w:fldChar w:fldCharType="separate"/>
          </w:r>
          <w:r>
            <w:t>40</w:t>
          </w:r>
          <w:r>
            <w:fldChar w:fldCharType="end"/>
          </w:r>
          <w:r>
            <w:rPr>
              <w:rFonts w:hint="eastAsia" w:ascii="黑体" w:hAnsi="黑体" w:eastAsia="黑体" w:cs="黑体"/>
              <w:bCs/>
              <w:i w:val="0"/>
              <w:iCs w:val="0"/>
              <w:color w:val="000000"/>
              <w:spacing w:val="0"/>
              <w:w w:val="100"/>
              <w:szCs w:val="44"/>
              <w:vertAlign w:val="baseline"/>
            </w:rPr>
            <w:fldChar w:fldCharType="end"/>
          </w:r>
        </w:p>
        <w:p w14:paraId="7FC1E529">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_Toc27915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9.2 技术风险与应对</w:t>
          </w:r>
          <w:r>
            <w:tab/>
          </w:r>
          <w:r>
            <w:fldChar w:fldCharType="begin"/>
          </w:r>
          <w:r>
            <w:instrText xml:space="preserve"> PAGEREF _Toc27915 \h </w:instrText>
          </w:r>
          <w:r>
            <w:fldChar w:fldCharType="separate"/>
          </w:r>
          <w:r>
            <w:t>40</w:t>
          </w:r>
          <w:r>
            <w:fldChar w:fldCharType="end"/>
          </w:r>
          <w:r>
            <w:rPr>
              <w:rFonts w:hint="eastAsia" w:ascii="黑体" w:hAnsi="黑体" w:eastAsia="黑体" w:cs="黑体"/>
              <w:bCs/>
              <w:i w:val="0"/>
              <w:iCs w:val="0"/>
              <w:color w:val="000000"/>
              <w:spacing w:val="0"/>
              <w:w w:val="100"/>
              <w:szCs w:val="44"/>
              <w:vertAlign w:val="baseline"/>
            </w:rPr>
            <w:fldChar w:fldCharType="end"/>
          </w:r>
        </w:p>
        <w:p w14:paraId="1BAB2139">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_Toc475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9.3 市场风险与应对</w:t>
          </w:r>
          <w:r>
            <w:tab/>
          </w:r>
          <w:r>
            <w:fldChar w:fldCharType="begin"/>
          </w:r>
          <w:r>
            <w:instrText xml:space="preserve"> PAGEREF _Toc475 \h </w:instrText>
          </w:r>
          <w:r>
            <w:fldChar w:fldCharType="separate"/>
          </w:r>
          <w:r>
            <w:t>41</w:t>
          </w:r>
          <w:r>
            <w:fldChar w:fldCharType="end"/>
          </w:r>
          <w:r>
            <w:rPr>
              <w:rFonts w:hint="eastAsia" w:ascii="黑体" w:hAnsi="黑体" w:eastAsia="黑体" w:cs="黑体"/>
              <w:bCs/>
              <w:i w:val="0"/>
              <w:iCs w:val="0"/>
              <w:color w:val="000000"/>
              <w:spacing w:val="0"/>
              <w:w w:val="100"/>
              <w:szCs w:val="44"/>
              <w:vertAlign w:val="baseline"/>
            </w:rPr>
            <w:fldChar w:fldCharType="end"/>
          </w:r>
        </w:p>
        <w:p w14:paraId="5B27A72E">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_Toc22515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9.4 管理风险与应对</w:t>
          </w:r>
          <w:r>
            <w:tab/>
          </w:r>
          <w:r>
            <w:fldChar w:fldCharType="begin"/>
          </w:r>
          <w:r>
            <w:instrText xml:space="preserve"> PAGEREF _Toc22515 \h </w:instrText>
          </w:r>
          <w:r>
            <w:fldChar w:fldCharType="separate"/>
          </w:r>
          <w:r>
            <w:t>41</w:t>
          </w:r>
          <w:r>
            <w:fldChar w:fldCharType="end"/>
          </w:r>
          <w:r>
            <w:rPr>
              <w:rFonts w:hint="eastAsia" w:ascii="黑体" w:hAnsi="黑体" w:eastAsia="黑体" w:cs="黑体"/>
              <w:bCs/>
              <w:i w:val="0"/>
              <w:iCs w:val="0"/>
              <w:color w:val="000000"/>
              <w:spacing w:val="0"/>
              <w:w w:val="100"/>
              <w:szCs w:val="44"/>
              <w:vertAlign w:val="baseline"/>
            </w:rPr>
            <w:fldChar w:fldCharType="end"/>
          </w:r>
        </w:p>
        <w:p w14:paraId="3AB7D6B5">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_Toc23687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9.5 法律风险与应对</w:t>
          </w:r>
          <w:r>
            <w:tab/>
          </w:r>
          <w:r>
            <w:fldChar w:fldCharType="begin"/>
          </w:r>
          <w:r>
            <w:instrText xml:space="preserve"> PAGEREF _Toc23687 \h </w:instrText>
          </w:r>
          <w:r>
            <w:fldChar w:fldCharType="separate"/>
          </w:r>
          <w:r>
            <w:t>42</w:t>
          </w:r>
          <w:r>
            <w:fldChar w:fldCharType="end"/>
          </w:r>
          <w:r>
            <w:rPr>
              <w:rFonts w:hint="eastAsia" w:ascii="黑体" w:hAnsi="黑体" w:eastAsia="黑体" w:cs="黑体"/>
              <w:bCs/>
              <w:i w:val="0"/>
              <w:iCs w:val="0"/>
              <w:color w:val="000000"/>
              <w:spacing w:val="0"/>
              <w:w w:val="100"/>
              <w:szCs w:val="44"/>
              <w:vertAlign w:val="baseline"/>
            </w:rPr>
            <w:fldChar w:fldCharType="end"/>
          </w:r>
        </w:p>
        <w:p w14:paraId="5ECF9FD0">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_Toc11492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9.6 供应链风险与应对</w:t>
          </w:r>
          <w:r>
            <w:tab/>
          </w:r>
          <w:r>
            <w:fldChar w:fldCharType="begin"/>
          </w:r>
          <w:r>
            <w:instrText xml:space="preserve"> PAGEREF _Toc11492 \h </w:instrText>
          </w:r>
          <w:r>
            <w:fldChar w:fldCharType="separate"/>
          </w:r>
          <w:r>
            <w:t>42</w:t>
          </w:r>
          <w:r>
            <w:fldChar w:fldCharType="end"/>
          </w:r>
          <w:r>
            <w:rPr>
              <w:rFonts w:hint="eastAsia" w:ascii="黑体" w:hAnsi="黑体" w:eastAsia="黑体" w:cs="黑体"/>
              <w:bCs/>
              <w:i w:val="0"/>
              <w:iCs w:val="0"/>
              <w:color w:val="000000"/>
              <w:spacing w:val="0"/>
              <w:w w:val="100"/>
              <w:szCs w:val="44"/>
              <w:vertAlign w:val="baseline"/>
            </w:rPr>
            <w:fldChar w:fldCharType="end"/>
          </w:r>
        </w:p>
        <w:p w14:paraId="2729D1C3">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_Toc2416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9.7 财务风险与应对</w:t>
          </w:r>
          <w:r>
            <w:tab/>
          </w:r>
          <w:r>
            <w:fldChar w:fldCharType="begin"/>
          </w:r>
          <w:r>
            <w:instrText xml:space="preserve"> PAGEREF _Toc2416 \h </w:instrText>
          </w:r>
          <w:r>
            <w:fldChar w:fldCharType="separate"/>
          </w:r>
          <w:r>
            <w:t>43</w:t>
          </w:r>
          <w:r>
            <w:fldChar w:fldCharType="end"/>
          </w:r>
          <w:r>
            <w:rPr>
              <w:rFonts w:hint="eastAsia" w:ascii="黑体" w:hAnsi="黑体" w:eastAsia="黑体" w:cs="黑体"/>
              <w:bCs/>
              <w:i w:val="0"/>
              <w:iCs w:val="0"/>
              <w:color w:val="000000"/>
              <w:spacing w:val="0"/>
              <w:w w:val="100"/>
              <w:szCs w:val="44"/>
              <w:vertAlign w:val="baseline"/>
            </w:rPr>
            <w:fldChar w:fldCharType="end"/>
          </w:r>
        </w:p>
        <w:p w14:paraId="0DCCA062">
          <w:pPr>
            <w:pStyle w:val="9"/>
            <w:tabs>
              <w:tab w:val="right" w:leader="dot" w:pos="8306"/>
            </w:tabs>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_Toc4881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44"/>
              <w:vertAlign w:val="baseline"/>
            </w:rPr>
            <w:t>第十章 团队组织</w:t>
          </w:r>
          <w:r>
            <w:tab/>
          </w:r>
          <w:r>
            <w:fldChar w:fldCharType="begin"/>
          </w:r>
          <w:r>
            <w:instrText xml:space="preserve"> PAGEREF _Toc4881 \h </w:instrText>
          </w:r>
          <w:r>
            <w:fldChar w:fldCharType="separate"/>
          </w:r>
          <w:r>
            <w:t>44</w:t>
          </w:r>
          <w:r>
            <w:fldChar w:fldCharType="end"/>
          </w:r>
          <w:r>
            <w:rPr>
              <w:rFonts w:hint="eastAsia" w:ascii="黑体" w:hAnsi="黑体" w:eastAsia="黑体" w:cs="黑体"/>
              <w:bCs/>
              <w:i w:val="0"/>
              <w:iCs w:val="0"/>
              <w:color w:val="000000"/>
              <w:spacing w:val="0"/>
              <w:w w:val="100"/>
              <w:szCs w:val="44"/>
              <w:vertAlign w:val="baseline"/>
            </w:rPr>
            <w:fldChar w:fldCharType="end"/>
          </w:r>
        </w:p>
        <w:p w14:paraId="7D6828A8">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_Toc16340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10.1 团队组织</w:t>
          </w:r>
          <w:r>
            <w:rPr>
              <w:rFonts w:hint="eastAsia" w:ascii="黑体" w:hAnsi="黑体" w:eastAsia="黑体" w:cs="黑体"/>
              <w:bCs/>
              <w:i w:val="0"/>
              <w:iCs w:val="0"/>
              <w:spacing w:val="0"/>
              <w:w w:val="100"/>
              <w:szCs w:val="36"/>
              <w:vertAlign w:val="baseline"/>
              <w:lang w:val="en-US" w:eastAsia="zh-CN"/>
            </w:rPr>
            <w:t>概</w:t>
          </w:r>
          <w:r>
            <w:rPr>
              <w:rFonts w:hint="eastAsia" w:ascii="黑体" w:hAnsi="黑体" w:eastAsia="黑体" w:cs="黑体"/>
              <w:bCs/>
              <w:i w:val="0"/>
              <w:iCs w:val="0"/>
              <w:spacing w:val="0"/>
              <w:w w:val="100"/>
              <w:szCs w:val="36"/>
              <w:vertAlign w:val="baseline"/>
            </w:rPr>
            <w:t>况</w:t>
          </w:r>
          <w:r>
            <w:tab/>
          </w:r>
          <w:r>
            <w:fldChar w:fldCharType="begin"/>
          </w:r>
          <w:r>
            <w:instrText xml:space="preserve"> PAGEREF _Toc16340 \h </w:instrText>
          </w:r>
          <w:r>
            <w:fldChar w:fldCharType="separate"/>
          </w:r>
          <w:r>
            <w:t>44</w:t>
          </w:r>
          <w:r>
            <w:fldChar w:fldCharType="end"/>
          </w:r>
          <w:r>
            <w:rPr>
              <w:rFonts w:hint="eastAsia" w:ascii="黑体" w:hAnsi="黑体" w:eastAsia="黑体" w:cs="黑体"/>
              <w:bCs/>
              <w:i w:val="0"/>
              <w:iCs w:val="0"/>
              <w:color w:val="000000"/>
              <w:spacing w:val="0"/>
              <w:w w:val="100"/>
              <w:szCs w:val="44"/>
              <w:vertAlign w:val="baseline"/>
            </w:rPr>
            <w:fldChar w:fldCharType="end"/>
          </w:r>
        </w:p>
        <w:p w14:paraId="4C794760">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_Toc9797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6"/>
              <w:vertAlign w:val="baseline"/>
            </w:rPr>
            <w:t>10.2 团队成员介绍</w:t>
          </w:r>
          <w:r>
            <w:tab/>
          </w:r>
          <w:r>
            <w:fldChar w:fldCharType="begin"/>
          </w:r>
          <w:r>
            <w:instrText xml:space="preserve"> PAGEREF _Toc9797 \h </w:instrText>
          </w:r>
          <w:r>
            <w:fldChar w:fldCharType="separate"/>
          </w:r>
          <w:r>
            <w:t>44</w:t>
          </w:r>
          <w:r>
            <w:fldChar w:fldCharType="end"/>
          </w:r>
          <w:r>
            <w:rPr>
              <w:rFonts w:hint="eastAsia" w:ascii="黑体" w:hAnsi="黑体" w:eastAsia="黑体" w:cs="黑体"/>
              <w:bCs/>
              <w:i w:val="0"/>
              <w:iCs w:val="0"/>
              <w:color w:val="000000"/>
              <w:spacing w:val="0"/>
              <w:w w:val="100"/>
              <w:szCs w:val="44"/>
              <w:vertAlign w:val="baseline"/>
            </w:rPr>
            <w:fldChar w:fldCharType="end"/>
          </w:r>
        </w:p>
        <w:p w14:paraId="4CAE6D9B">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_Toc4014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2"/>
              <w:vertAlign w:val="baseline"/>
            </w:rPr>
            <w:t>10.3 团队组织结构</w:t>
          </w:r>
          <w:r>
            <w:tab/>
          </w:r>
          <w:r>
            <w:fldChar w:fldCharType="begin"/>
          </w:r>
          <w:r>
            <w:instrText xml:space="preserve"> PAGEREF _Toc4014 \h </w:instrText>
          </w:r>
          <w:r>
            <w:fldChar w:fldCharType="separate"/>
          </w:r>
          <w:r>
            <w:t>46</w:t>
          </w:r>
          <w:r>
            <w:fldChar w:fldCharType="end"/>
          </w:r>
          <w:r>
            <w:rPr>
              <w:rFonts w:hint="eastAsia" w:ascii="黑体" w:hAnsi="黑体" w:eastAsia="黑体" w:cs="黑体"/>
              <w:bCs/>
              <w:i w:val="0"/>
              <w:iCs w:val="0"/>
              <w:color w:val="000000"/>
              <w:spacing w:val="0"/>
              <w:w w:val="100"/>
              <w:szCs w:val="44"/>
              <w:vertAlign w:val="baseline"/>
            </w:rPr>
            <w:fldChar w:fldCharType="end"/>
          </w:r>
        </w:p>
        <w:p w14:paraId="7467CB7E">
          <w:pPr>
            <w:pStyle w:val="9"/>
            <w:tabs>
              <w:tab w:val="right" w:leader="dot" w:pos="8306"/>
            </w:tabs>
            <w:ind w:firstLine="630" w:firstLineChars="300"/>
          </w:pPr>
          <w:r>
            <w:rPr>
              <w:rFonts w:hint="eastAsia" w:ascii="黑体" w:hAnsi="黑体" w:eastAsia="黑体" w:cs="黑体"/>
              <w:bCs/>
              <w:i w:val="0"/>
              <w:iCs w:val="0"/>
              <w:color w:val="000000"/>
              <w:spacing w:val="0"/>
              <w:w w:val="100"/>
              <w:szCs w:val="44"/>
              <w:vertAlign w:val="baseline"/>
            </w:rPr>
            <w:fldChar w:fldCharType="begin"/>
          </w:r>
          <w:r>
            <w:rPr>
              <w:rFonts w:hint="eastAsia" w:ascii="黑体" w:hAnsi="黑体" w:eastAsia="黑体" w:cs="黑体"/>
              <w:bCs/>
              <w:i w:val="0"/>
              <w:iCs w:val="0"/>
              <w:spacing w:val="0"/>
              <w:w w:val="100"/>
              <w:szCs w:val="44"/>
              <w:vertAlign w:val="baseline"/>
            </w:rPr>
            <w:instrText xml:space="preserve"> HYPERLINK \l _Toc5231 </w:instrText>
          </w:r>
          <w:r>
            <w:rPr>
              <w:rFonts w:hint="eastAsia" w:ascii="黑体" w:hAnsi="黑体" w:eastAsia="黑体" w:cs="黑体"/>
              <w:bCs/>
              <w:i w:val="0"/>
              <w:iCs w:val="0"/>
              <w:spacing w:val="0"/>
              <w:w w:val="100"/>
              <w:szCs w:val="44"/>
              <w:vertAlign w:val="baseline"/>
            </w:rPr>
            <w:fldChar w:fldCharType="separate"/>
          </w:r>
          <w:r>
            <w:rPr>
              <w:rFonts w:hint="eastAsia" w:ascii="黑体" w:hAnsi="黑体" w:eastAsia="黑体" w:cs="黑体"/>
              <w:bCs/>
              <w:i w:val="0"/>
              <w:iCs w:val="0"/>
              <w:spacing w:val="0"/>
              <w:w w:val="100"/>
              <w:szCs w:val="32"/>
              <w:vertAlign w:val="baseline"/>
            </w:rPr>
            <w:t>10.4 团队组建特征</w:t>
          </w:r>
          <w:r>
            <w:tab/>
          </w:r>
          <w:r>
            <w:fldChar w:fldCharType="begin"/>
          </w:r>
          <w:r>
            <w:instrText xml:space="preserve"> PAGEREF _Toc5231 \h </w:instrText>
          </w:r>
          <w:r>
            <w:fldChar w:fldCharType="separate"/>
          </w:r>
          <w:r>
            <w:t>46</w:t>
          </w:r>
          <w:r>
            <w:fldChar w:fldCharType="end"/>
          </w:r>
          <w:r>
            <w:rPr>
              <w:rFonts w:hint="eastAsia" w:ascii="黑体" w:hAnsi="黑体" w:eastAsia="黑体" w:cs="黑体"/>
              <w:bCs/>
              <w:i w:val="0"/>
              <w:iCs w:val="0"/>
              <w:color w:val="000000"/>
              <w:spacing w:val="0"/>
              <w:w w:val="100"/>
              <w:szCs w:val="44"/>
              <w:vertAlign w:val="baseline"/>
            </w:rPr>
            <w:fldChar w:fldCharType="end"/>
          </w:r>
        </w:p>
        <w:p w14:paraId="78C045A9">
          <w:pPr>
            <w:pStyle w:val="12"/>
            <w:keepNext w:val="0"/>
            <w:keepLines w:val="0"/>
            <w:widowControl/>
            <w:suppressLineNumbers w:val="0"/>
            <w:spacing w:before="0" w:beforeAutospacing="0" w:after="0" w:afterAutospacing="0"/>
            <w:ind w:left="0" w:leftChars="0" w:right="0" w:rightChars="0"/>
            <w:jc w:val="center"/>
            <w:outlineLvl w:val="9"/>
            <w:rPr>
              <w:rFonts w:hint="eastAsia" w:ascii="黑体" w:hAnsi="黑体" w:eastAsia="黑体" w:cs="黑体"/>
              <w:bCs/>
              <w:i w:val="0"/>
              <w:iCs w:val="0"/>
              <w:color w:val="000000"/>
              <w:spacing w:val="0"/>
              <w:w w:val="100"/>
              <w:kern w:val="0"/>
              <w:sz w:val="24"/>
              <w:szCs w:val="44"/>
              <w:vertAlign w:val="baseline"/>
              <w:lang w:val="en-US" w:eastAsia="zh-CN" w:bidi="ar"/>
            </w:rPr>
          </w:pPr>
          <w:r>
            <w:rPr>
              <w:rFonts w:hint="eastAsia" w:ascii="黑体" w:hAnsi="黑体" w:eastAsia="黑体" w:cs="黑体"/>
              <w:bCs/>
              <w:i w:val="0"/>
              <w:iCs w:val="0"/>
              <w:color w:val="000000"/>
              <w:spacing w:val="0"/>
              <w:w w:val="100"/>
              <w:szCs w:val="44"/>
              <w:vertAlign w:val="baseline"/>
            </w:rPr>
            <w:fldChar w:fldCharType="end"/>
          </w:r>
        </w:p>
      </w:sdtContent>
    </w:sdt>
    <w:p w14:paraId="5E33064F">
      <w:pPr>
        <w:pStyle w:val="12"/>
        <w:keepNext w:val="0"/>
        <w:keepLines w:val="0"/>
        <w:widowControl/>
        <w:suppressLineNumbers w:val="0"/>
        <w:spacing w:before="0" w:beforeAutospacing="0" w:after="0" w:afterAutospacing="0"/>
        <w:ind w:left="0" w:leftChars="0" w:right="0" w:rightChars="0"/>
        <w:jc w:val="center"/>
        <w:outlineLvl w:val="9"/>
        <w:rPr>
          <w:rFonts w:hint="eastAsia" w:ascii="黑体" w:hAnsi="黑体" w:eastAsia="黑体" w:cs="黑体"/>
          <w:bCs/>
          <w:i w:val="0"/>
          <w:iCs w:val="0"/>
          <w:color w:val="000000"/>
          <w:spacing w:val="0"/>
          <w:w w:val="100"/>
          <w:kern w:val="0"/>
          <w:sz w:val="24"/>
          <w:szCs w:val="44"/>
          <w:vertAlign w:val="baseline"/>
          <w:lang w:val="en-US" w:eastAsia="zh-CN" w:bidi="ar"/>
        </w:rPr>
      </w:pPr>
    </w:p>
    <w:p w14:paraId="38BEAEA6">
      <w:pPr>
        <w:pStyle w:val="12"/>
        <w:keepNext w:val="0"/>
        <w:keepLines w:val="0"/>
        <w:widowControl/>
        <w:suppressLineNumbers w:val="0"/>
        <w:spacing w:before="0" w:beforeAutospacing="0" w:after="0" w:afterAutospacing="0"/>
        <w:ind w:left="0" w:leftChars="0" w:right="0" w:rightChars="0"/>
        <w:jc w:val="both"/>
        <w:outlineLvl w:val="9"/>
        <w:rPr>
          <w:rFonts w:hint="eastAsia" w:ascii="黑体" w:hAnsi="黑体" w:eastAsia="黑体" w:cs="黑体"/>
          <w:b/>
          <w:bCs/>
          <w:i w:val="0"/>
          <w:iCs w:val="0"/>
          <w:color w:val="000000"/>
          <w:spacing w:val="0"/>
          <w:w w:val="100"/>
          <w:sz w:val="44"/>
          <w:szCs w:val="44"/>
          <w:vertAlign w:val="baseline"/>
        </w:rPr>
        <w:sectPr>
          <w:headerReference r:id="rId6" w:type="default"/>
          <w:footerReference r:id="rId7" w:type="default"/>
          <w:pgSz w:w="11906" w:h="16838"/>
          <w:pgMar w:top="1440" w:right="1800" w:bottom="1440" w:left="1800" w:header="1134" w:footer="992" w:gutter="0"/>
          <w:pgNumType w:fmt="decimal" w:start="1"/>
          <w:cols w:space="425" w:num="1"/>
          <w:docGrid w:type="lines" w:linePitch="312" w:charSpace="0"/>
        </w:sectPr>
      </w:pPr>
    </w:p>
    <w:p w14:paraId="13D17E9B">
      <w:pPr>
        <w:pStyle w:val="12"/>
        <w:keepNext w:val="0"/>
        <w:keepLines w:val="0"/>
        <w:widowControl/>
        <w:suppressLineNumbers w:val="0"/>
        <w:spacing w:before="0" w:beforeAutospacing="0" w:after="0" w:afterAutospacing="0"/>
        <w:ind w:left="0" w:leftChars="0" w:right="0" w:rightChars="0"/>
        <w:jc w:val="center"/>
        <w:outlineLvl w:val="0"/>
        <w:rPr>
          <w:rFonts w:hint="eastAsia" w:ascii="黑体" w:hAnsi="黑体" w:eastAsia="黑体" w:cs="黑体"/>
          <w:sz w:val="44"/>
          <w:szCs w:val="44"/>
        </w:rPr>
      </w:pPr>
      <w:bookmarkStart w:id="1" w:name="_Toc6348"/>
      <w:r>
        <w:rPr>
          <w:rFonts w:hint="eastAsia" w:ascii="黑体" w:hAnsi="黑体" w:eastAsia="黑体" w:cs="黑体"/>
          <w:b/>
          <w:bCs/>
          <w:i w:val="0"/>
          <w:iCs w:val="0"/>
          <w:color w:val="000000"/>
          <w:spacing w:val="0"/>
          <w:w w:val="100"/>
          <w:sz w:val="44"/>
          <w:szCs w:val="44"/>
          <w:vertAlign w:val="baseline"/>
        </w:rPr>
        <w:t>第一章 执行摘要</w:t>
      </w:r>
      <w:bookmarkEnd w:id="0"/>
      <w:bookmarkEnd w:id="1"/>
    </w:p>
    <w:p w14:paraId="368ECCE7">
      <w:pPr>
        <w:pStyle w:val="12"/>
        <w:keepNext w:val="0"/>
        <w:keepLines w:val="0"/>
        <w:widowControl/>
        <w:suppressLineNumbers w:val="0"/>
        <w:spacing w:before="0" w:beforeAutospacing="0" w:after="0" w:afterAutospacing="0"/>
        <w:ind w:left="0" w:leftChars="0" w:right="0" w:rightChars="0"/>
        <w:jc w:val="left"/>
        <w:outlineLvl w:val="0"/>
        <w:rPr>
          <w:rFonts w:hint="eastAsia" w:ascii="黑体" w:hAnsi="黑体" w:eastAsia="黑体" w:cs="黑体"/>
          <w:sz w:val="36"/>
          <w:szCs w:val="36"/>
        </w:rPr>
      </w:pPr>
      <w:bookmarkStart w:id="2" w:name="_Toc11658"/>
      <w:bookmarkStart w:id="3" w:name="_Toc2114"/>
      <w:r>
        <w:rPr>
          <w:rFonts w:hint="eastAsia" w:ascii="黑体" w:hAnsi="黑体" w:eastAsia="黑体" w:cs="黑体"/>
          <w:b/>
          <w:bCs/>
          <w:i w:val="0"/>
          <w:iCs w:val="0"/>
          <w:color w:val="000000"/>
          <w:spacing w:val="0"/>
          <w:w w:val="100"/>
          <w:sz w:val="36"/>
          <w:szCs w:val="36"/>
          <w:vertAlign w:val="baseline"/>
        </w:rPr>
        <w:t>1.1 商业计划</w:t>
      </w:r>
      <w:bookmarkEnd w:id="2"/>
      <w:bookmarkEnd w:id="3"/>
    </w:p>
    <w:p w14:paraId="4086BC6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rPr>
          <w:rFonts w:hint="eastAsia" w:ascii="宋体" w:hAnsi="宋体" w:eastAsia="宋体" w:cs="宋体"/>
          <w:b w:val="0"/>
          <w:bCs w:val="0"/>
          <w:i w:val="0"/>
          <w:iCs w:val="0"/>
          <w:color w:val="000000"/>
          <w:spacing w:val="0"/>
          <w:w w:val="100"/>
          <w:sz w:val="30"/>
          <w:szCs w:val="30"/>
          <w:vertAlign w:val="baseline"/>
        </w:rPr>
      </w:pPr>
      <w:r>
        <w:rPr>
          <w:rFonts w:hint="eastAsia" w:ascii="黑体" w:hAnsi="黑体" w:eastAsia="黑体" w:cs="黑体"/>
          <w:b/>
          <w:bCs/>
          <w:i w:val="0"/>
          <w:iCs w:val="0"/>
          <w:color w:val="000000"/>
          <w:spacing w:val="0"/>
          <w:w w:val="100"/>
          <w:sz w:val="28"/>
          <w:szCs w:val="28"/>
          <w:vertAlign w:val="baseline"/>
        </w:rPr>
        <w:t>团队名称</w:t>
      </w:r>
      <w:r>
        <w:rPr>
          <w:rFonts w:hint="eastAsia" w:ascii="黑体" w:hAnsi="黑体" w:eastAsia="黑体" w:cs="黑体"/>
          <w:b w:val="0"/>
          <w:bCs w:val="0"/>
          <w:i w:val="0"/>
          <w:iCs w:val="0"/>
          <w:color w:val="000000"/>
          <w:spacing w:val="0"/>
          <w:w w:val="100"/>
          <w:sz w:val="28"/>
          <w:szCs w:val="28"/>
          <w:vertAlign w:val="baseline"/>
        </w:rPr>
        <w:t>：</w:t>
      </w:r>
      <w:r>
        <w:rPr>
          <w:rFonts w:hint="eastAsia" w:ascii="宋体" w:hAnsi="宋体" w:eastAsia="宋体" w:cs="宋体"/>
          <w:b w:val="0"/>
          <w:bCs w:val="0"/>
          <w:i w:val="0"/>
          <w:iCs w:val="0"/>
          <w:color w:val="000000"/>
          <w:spacing w:val="0"/>
          <w:w w:val="100"/>
          <w:sz w:val="28"/>
          <w:szCs w:val="28"/>
          <w:vertAlign w:val="baseline"/>
        </w:rPr>
        <w:t>锈鉴智检创新研发团队</w:t>
      </w:r>
      <w:r>
        <w:rPr>
          <w:rFonts w:hint="eastAsia" w:ascii="宋体" w:hAnsi="宋体" w:eastAsia="宋体" w:cs="宋体"/>
          <w:b w:val="0"/>
          <w:bCs w:val="0"/>
          <w:i w:val="0"/>
          <w:iCs w:val="0"/>
          <w:color w:val="000000"/>
          <w:spacing w:val="0"/>
          <w:w w:val="100"/>
          <w:sz w:val="30"/>
          <w:szCs w:val="30"/>
          <w:vertAlign w:val="baseline"/>
        </w:rPr>
        <w:t xml:space="preserve"> </w:t>
      </w:r>
    </w:p>
    <w:p w14:paraId="0675BA5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0" w:firstLineChars="200"/>
        <w:jc w:val="left"/>
        <w:textAlignment w:val="auto"/>
        <w:rPr>
          <w:rFonts w:hint="eastAsia" w:ascii="宋体" w:hAnsi="宋体" w:eastAsia="宋体" w:cs="宋体"/>
          <w:i w:val="0"/>
          <w:iCs w:val="0"/>
          <w:caps w:val="0"/>
          <w:spacing w:val="0"/>
          <w:sz w:val="24"/>
          <w:szCs w:val="24"/>
        </w:rPr>
      </w:pPr>
      <w:r>
        <w:rPr>
          <w:rFonts w:hint="eastAsia" w:ascii="黑体" w:hAnsi="黑体" w:eastAsia="黑体" w:cs="黑体"/>
          <w:i w:val="0"/>
          <w:iCs w:val="0"/>
          <w:caps w:val="0"/>
          <w:spacing w:val="0"/>
          <w:sz w:val="28"/>
          <w:szCs w:val="28"/>
        </w:rPr>
        <w:t>目标群体：</w:t>
      </w:r>
      <w:r>
        <w:rPr>
          <w:rFonts w:hint="eastAsia" w:ascii="宋体" w:hAnsi="宋体" w:eastAsia="宋体" w:cs="宋体"/>
          <w:i w:val="0"/>
          <w:iCs w:val="0"/>
          <w:caps w:val="0"/>
          <w:spacing w:val="0"/>
          <w:sz w:val="24"/>
          <w:szCs w:val="24"/>
        </w:rPr>
        <w:t>国内海量中小钢材贸易企业、钢材深加工企业与钢结构加工厂，是钢材来料质检最刚需、数字化程度最低的市场主体。</w:t>
      </w:r>
    </w:p>
    <w:p w14:paraId="646C702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0" w:firstLineChars="200"/>
        <w:jc w:val="left"/>
        <w:textAlignment w:val="auto"/>
        <w:rPr>
          <w:rFonts w:hint="eastAsia" w:ascii="宋体" w:hAnsi="宋体" w:eastAsia="宋体" w:cs="宋体"/>
          <w:i w:val="0"/>
          <w:iCs w:val="0"/>
          <w:caps w:val="0"/>
          <w:spacing w:val="0"/>
          <w:sz w:val="24"/>
          <w:szCs w:val="24"/>
        </w:rPr>
      </w:pPr>
      <w:r>
        <w:rPr>
          <w:rFonts w:hint="eastAsia" w:ascii="黑体" w:hAnsi="黑体" w:eastAsia="黑体" w:cs="黑体"/>
          <w:i w:val="0"/>
          <w:iCs w:val="0"/>
          <w:caps w:val="0"/>
          <w:spacing w:val="0"/>
          <w:sz w:val="28"/>
          <w:szCs w:val="28"/>
        </w:rPr>
        <w:t>核心痛点：</w:t>
      </w:r>
      <w:r>
        <w:rPr>
          <w:rFonts w:hint="eastAsia" w:ascii="宋体" w:hAnsi="宋体" w:eastAsia="宋体" w:cs="宋体"/>
          <w:i w:val="0"/>
          <w:iCs w:val="0"/>
          <w:caps w:val="0"/>
          <w:spacing w:val="0"/>
          <w:sz w:val="24"/>
          <w:szCs w:val="24"/>
        </w:rPr>
        <w:t>行业长期依赖人工肉眼质检，早期轻微锈斑难以识别、漏检率高，质检结果因人而异、标准不统一，人工质检成本逐年攀升；同时传统工业视觉设备价格高昂、部署复杂、需要改造产线，且无法区分油污、灰尘与真实锈迹，误检严重，无法真正替代人工。</w:t>
      </w:r>
    </w:p>
    <w:p w14:paraId="4DFA086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0" w:firstLineChars="200"/>
        <w:jc w:val="left"/>
        <w:textAlignment w:val="auto"/>
        <w:rPr>
          <w:rFonts w:hint="eastAsia" w:ascii="宋体" w:hAnsi="宋体" w:eastAsia="宋体" w:cs="宋体"/>
          <w:i w:val="0"/>
          <w:iCs w:val="0"/>
          <w:caps w:val="0"/>
          <w:spacing w:val="0"/>
          <w:sz w:val="24"/>
          <w:szCs w:val="24"/>
        </w:rPr>
      </w:pPr>
      <w:r>
        <w:rPr>
          <w:rFonts w:hint="eastAsia" w:ascii="黑体" w:hAnsi="黑体" w:eastAsia="黑体" w:cs="黑体"/>
          <w:i w:val="0"/>
          <w:iCs w:val="0"/>
          <w:caps w:val="0"/>
          <w:spacing w:val="0"/>
          <w:sz w:val="28"/>
          <w:szCs w:val="28"/>
        </w:rPr>
        <w:t>核心技术：</w:t>
      </w:r>
      <w:r>
        <w:rPr>
          <w:rFonts w:hint="eastAsia" w:ascii="宋体" w:hAnsi="宋体" w:eastAsia="宋体" w:cs="宋体"/>
          <w:i w:val="0"/>
          <w:iCs w:val="0"/>
          <w:caps w:val="0"/>
          <w:spacing w:val="0"/>
          <w:sz w:val="24"/>
          <w:szCs w:val="24"/>
        </w:rPr>
        <w:t>自主采用多角度可调LED强光辅助成像技术，放大钢材表面微弱锈蚀特征；融合改进型YOLO实例分割与图像增强算法，精准识别早期点锈，有效剔除油污、灰尘伪缺陷，支持国标锈蚀等级自动判定，兼容工件端面裂纹检测。</w:t>
      </w:r>
    </w:p>
    <w:p w14:paraId="68FA74B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0" w:firstLineChars="200"/>
        <w:jc w:val="left"/>
        <w:textAlignment w:val="auto"/>
        <w:rPr>
          <w:rFonts w:hint="eastAsia" w:ascii="宋体" w:hAnsi="宋体" w:eastAsia="宋体" w:cs="宋体"/>
          <w:i w:val="0"/>
          <w:iCs w:val="0"/>
          <w:caps w:val="0"/>
          <w:spacing w:val="0"/>
          <w:sz w:val="24"/>
          <w:szCs w:val="24"/>
        </w:rPr>
      </w:pPr>
      <w:r>
        <w:rPr>
          <w:rFonts w:hint="eastAsia" w:ascii="黑体" w:hAnsi="黑体" w:eastAsia="黑体" w:cs="黑体"/>
          <w:i w:val="0"/>
          <w:iCs w:val="0"/>
          <w:caps w:val="0"/>
          <w:spacing w:val="0"/>
          <w:sz w:val="28"/>
          <w:szCs w:val="28"/>
        </w:rPr>
        <w:t>产品形态：</w:t>
      </w:r>
      <w:r>
        <w:rPr>
          <w:rFonts w:hint="eastAsia" w:ascii="宋体" w:hAnsi="宋体" w:eastAsia="宋体" w:cs="宋体"/>
          <w:i w:val="0"/>
          <w:iCs w:val="0"/>
          <w:caps w:val="0"/>
          <w:spacing w:val="0"/>
          <w:sz w:val="24"/>
          <w:szCs w:val="24"/>
        </w:rPr>
        <w:t>轻量化外挂式模块化智能质检系统，无需改造原有生产设备与产线，即装即用、适配各类钢材加工场景。</w:t>
      </w:r>
    </w:p>
    <w:p w14:paraId="2E1ACBA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0" w:firstLineChars="200"/>
        <w:jc w:val="left"/>
        <w:textAlignment w:val="auto"/>
        <w:rPr>
          <w:rFonts w:hint="eastAsia" w:ascii="宋体" w:hAnsi="宋体" w:eastAsia="宋体" w:cs="宋体"/>
          <w:i w:val="0"/>
          <w:iCs w:val="0"/>
          <w:caps w:val="0"/>
          <w:spacing w:val="0"/>
          <w:sz w:val="24"/>
          <w:szCs w:val="24"/>
        </w:rPr>
      </w:pPr>
      <w:r>
        <w:rPr>
          <w:rFonts w:hint="eastAsia" w:ascii="黑体" w:hAnsi="黑体" w:eastAsia="黑体" w:cs="黑体"/>
          <w:i w:val="0"/>
          <w:iCs w:val="0"/>
          <w:caps w:val="0"/>
          <w:spacing w:val="0"/>
          <w:sz w:val="28"/>
          <w:szCs w:val="28"/>
        </w:rPr>
        <w:t>核心价值：</w:t>
      </w:r>
      <w:r>
        <w:rPr>
          <w:rFonts w:hint="eastAsia" w:ascii="宋体" w:hAnsi="宋体" w:eastAsia="宋体" w:cs="宋体"/>
          <w:i w:val="0"/>
          <w:iCs w:val="0"/>
          <w:caps w:val="0"/>
          <w:spacing w:val="0"/>
          <w:sz w:val="24"/>
          <w:szCs w:val="24"/>
        </w:rPr>
        <w:t>单工位部署成本仅为传统智能质检方案的30%，以低成本、高精度、标准化的智能检测能力，解决中小企业质检不规范、人工误差大、数字化难落地的行业难题，助力制造业轻量化数字化转型。</w:t>
      </w:r>
    </w:p>
    <w:p w14:paraId="59A3D61C">
      <w:pPr>
        <w:pStyle w:val="12"/>
        <w:keepNext w:val="0"/>
        <w:keepLines w:val="0"/>
        <w:widowControl/>
        <w:suppressLineNumbers w:val="0"/>
        <w:spacing w:before="0" w:beforeAutospacing="0" w:after="0" w:afterAutospacing="0"/>
        <w:ind w:left="0" w:right="0"/>
        <w:jc w:val="left"/>
        <w:rPr>
          <w:rFonts w:hint="eastAsia" w:ascii="宋体" w:hAnsi="宋体" w:eastAsia="宋体" w:cs="宋体"/>
          <w:b/>
          <w:bCs/>
          <w:i w:val="0"/>
          <w:iCs w:val="0"/>
          <w:color w:val="000000"/>
          <w:spacing w:val="0"/>
          <w:w w:val="100"/>
          <w:sz w:val="36"/>
          <w:szCs w:val="36"/>
          <w:vertAlign w:val="baseline"/>
        </w:rPr>
      </w:pPr>
    </w:p>
    <w:p w14:paraId="691D78F1">
      <w:pPr>
        <w:pStyle w:val="12"/>
        <w:keepNext w:val="0"/>
        <w:keepLines w:val="0"/>
        <w:widowControl/>
        <w:suppressLineNumbers w:val="0"/>
        <w:spacing w:before="0" w:beforeAutospacing="0" w:after="0" w:afterAutospacing="0"/>
        <w:ind w:left="0" w:leftChars="0" w:right="0" w:rightChars="0"/>
        <w:jc w:val="left"/>
        <w:outlineLvl w:val="0"/>
        <w:rPr>
          <w:rFonts w:ascii="Segoe UI Emoji" w:hAnsi="Segoe UI Emoji" w:eastAsia="Segoe UI Emoji" w:cs="Segoe UI Emoji"/>
          <w:i w:val="0"/>
          <w:iCs w:val="0"/>
          <w:caps w:val="0"/>
          <w:spacing w:val="0"/>
          <w:sz w:val="24"/>
          <w:szCs w:val="24"/>
        </w:rPr>
      </w:pPr>
      <w:bookmarkStart w:id="4" w:name="_Toc13470"/>
      <w:bookmarkStart w:id="5" w:name="_Toc21831"/>
      <w:r>
        <w:rPr>
          <w:rFonts w:hint="eastAsia" w:ascii="黑体" w:hAnsi="黑体" w:eastAsia="黑体" w:cs="黑体"/>
          <w:b/>
          <w:bCs/>
          <w:i w:val="0"/>
          <w:iCs w:val="0"/>
          <w:color w:val="000000"/>
          <w:spacing w:val="0"/>
          <w:w w:val="100"/>
          <w:sz w:val="36"/>
          <w:szCs w:val="36"/>
          <w:vertAlign w:val="baseline"/>
        </w:rPr>
        <w:t>1.2 产品与技术</w:t>
      </w:r>
      <w:bookmarkEnd w:id="4"/>
      <w:bookmarkEnd w:id="5"/>
      <w:bookmarkStart w:id="6" w:name="_Toc16615"/>
    </w:p>
    <w:p w14:paraId="2649639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i w:val="0"/>
          <w:iCs w:val="0"/>
          <w:caps w:val="0"/>
          <w:spacing w:val="0"/>
          <w:sz w:val="28"/>
          <w:szCs w:val="28"/>
        </w:rPr>
      </w:pPr>
      <w:bookmarkStart w:id="7" w:name="_Toc8616"/>
      <w:r>
        <w:rPr>
          <w:rFonts w:hint="eastAsia" w:ascii="黑体" w:hAnsi="黑体" w:eastAsia="黑体" w:cs="黑体"/>
          <w:b/>
          <w:bCs/>
          <w:i w:val="0"/>
          <w:iCs w:val="0"/>
          <w:caps w:val="0"/>
          <w:spacing w:val="0"/>
          <w:sz w:val="28"/>
          <w:szCs w:val="28"/>
        </w:rPr>
        <w:t>4大核心功能</w:t>
      </w:r>
      <w:r>
        <w:rPr>
          <w:rFonts w:hint="eastAsia" w:ascii="黑体" w:hAnsi="黑体" w:eastAsia="黑体" w:cs="黑体"/>
          <w:i w:val="0"/>
          <w:iCs w:val="0"/>
          <w:caps w:val="0"/>
          <w:spacing w:val="0"/>
          <w:sz w:val="28"/>
          <w:szCs w:val="28"/>
        </w:rPr>
        <w:t>：</w:t>
      </w:r>
      <w:bookmarkEnd w:id="7"/>
    </w:p>
    <w:p w14:paraId="41D8CD0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jc w:val="left"/>
        <w:textAlignment w:val="auto"/>
        <w:outlineLvl w:val="9"/>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本系统覆盖钢材来料质检全场景核心需求</w:t>
      </w:r>
      <w:r>
        <w:rPr>
          <w:rFonts w:hint="eastAsia" w:ascii="宋体" w:hAnsi="宋体" w:eastAsia="宋体" w:cs="宋体"/>
          <w:i w:val="0"/>
          <w:iCs w:val="0"/>
          <w:caps w:val="0"/>
          <w:spacing w:val="0"/>
          <w:sz w:val="24"/>
          <w:szCs w:val="24"/>
          <w:lang w:eastAsia="zh-CN"/>
        </w:rPr>
        <w:t>，</w:t>
      </w:r>
      <w:r>
        <w:rPr>
          <w:rFonts w:hint="eastAsia" w:ascii="宋体" w:hAnsi="宋体" w:eastAsia="宋体" w:cs="宋体"/>
          <w:b/>
          <w:bCs/>
          <w:i w:val="0"/>
          <w:iCs w:val="0"/>
          <w:caps w:val="0"/>
          <w:spacing w:val="0"/>
          <w:sz w:val="24"/>
          <w:szCs w:val="24"/>
        </w:rPr>
        <w:t>集成高精度早期锈蚀识别分级</w:t>
      </w:r>
      <w:r>
        <w:rPr>
          <w:rFonts w:hint="eastAsia" w:ascii="宋体" w:hAnsi="宋体" w:eastAsia="宋体" w:cs="宋体"/>
          <w:b/>
          <w:bCs/>
          <w:i w:val="0"/>
          <w:iCs w:val="0"/>
          <w:caps w:val="0"/>
          <w:spacing w:val="0"/>
          <w:sz w:val="24"/>
          <w:szCs w:val="24"/>
          <w:lang w:eastAsia="zh-CN"/>
        </w:rPr>
        <w:t>，</w:t>
      </w:r>
      <w:r>
        <w:rPr>
          <w:rFonts w:hint="eastAsia" w:ascii="宋体" w:hAnsi="宋体" w:eastAsia="宋体" w:cs="宋体"/>
          <w:b/>
          <w:bCs/>
          <w:i w:val="0"/>
          <w:iCs w:val="0"/>
          <w:caps w:val="0"/>
          <w:spacing w:val="0"/>
          <w:sz w:val="24"/>
          <w:szCs w:val="24"/>
        </w:rPr>
        <w:t>工业伪缺陷智能滤除</w:t>
      </w:r>
      <w:r>
        <w:rPr>
          <w:rFonts w:hint="eastAsia" w:ascii="宋体" w:hAnsi="宋体" w:eastAsia="宋体" w:cs="宋体"/>
          <w:b/>
          <w:bCs/>
          <w:i w:val="0"/>
          <w:iCs w:val="0"/>
          <w:caps w:val="0"/>
          <w:spacing w:val="0"/>
          <w:sz w:val="24"/>
          <w:szCs w:val="24"/>
          <w:lang w:eastAsia="zh-CN"/>
        </w:rPr>
        <w:t>，</w:t>
      </w:r>
      <w:r>
        <w:rPr>
          <w:rFonts w:hint="eastAsia" w:ascii="宋体" w:hAnsi="宋体" w:eastAsia="宋体" w:cs="宋体"/>
          <w:b/>
          <w:bCs/>
          <w:i w:val="0"/>
          <w:iCs w:val="0"/>
          <w:caps w:val="0"/>
          <w:spacing w:val="0"/>
          <w:sz w:val="24"/>
          <w:szCs w:val="24"/>
        </w:rPr>
        <w:t>钢材端面微裂纹同步检测</w:t>
      </w:r>
      <w:r>
        <w:rPr>
          <w:rFonts w:hint="eastAsia" w:ascii="宋体" w:hAnsi="宋体" w:eastAsia="宋体" w:cs="宋体"/>
          <w:b/>
          <w:bCs/>
          <w:i w:val="0"/>
          <w:iCs w:val="0"/>
          <w:caps w:val="0"/>
          <w:spacing w:val="0"/>
          <w:sz w:val="24"/>
          <w:szCs w:val="24"/>
          <w:lang w:eastAsia="zh-CN"/>
        </w:rPr>
        <w:t>，</w:t>
      </w:r>
      <w:r>
        <w:rPr>
          <w:rFonts w:hint="eastAsia" w:ascii="宋体" w:hAnsi="宋体" w:eastAsia="宋体" w:cs="宋体"/>
          <w:b/>
          <w:bCs/>
          <w:i w:val="0"/>
          <w:iCs w:val="0"/>
          <w:caps w:val="0"/>
          <w:spacing w:val="0"/>
          <w:sz w:val="24"/>
          <w:szCs w:val="24"/>
        </w:rPr>
        <w:t>质检数据可视化管理</w:t>
      </w:r>
      <w:r>
        <w:rPr>
          <w:rFonts w:hint="eastAsia" w:ascii="宋体" w:hAnsi="宋体" w:eastAsia="宋体" w:cs="宋体"/>
          <w:i w:val="0"/>
          <w:iCs w:val="0"/>
          <w:caps w:val="0"/>
          <w:spacing w:val="0"/>
          <w:sz w:val="24"/>
          <w:szCs w:val="24"/>
        </w:rPr>
        <w:t>四大功能。依托多角度强光成像光学增强技术与AI智能算法，可精准捕捉肉眼难以辨识的微弱缺陷，自动依据国标完成质量等级判定，有效区分锈蚀与油污、灰尘等干扰杂质，同步检测工件端面微小裂纹损伤；同时自动归档所有质检数据、生成质量报表、支持多维度溯源，实现从缺陷检测、质量判定到数据留存、质量分析的全流程闭环智能化质检，一套设备替代多道人工质检工序。</w:t>
      </w:r>
    </w:p>
    <w:p w14:paraId="1C738A2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i w:val="0"/>
          <w:iCs w:val="0"/>
          <w:caps w:val="0"/>
          <w:spacing w:val="0"/>
          <w:sz w:val="28"/>
          <w:szCs w:val="28"/>
        </w:rPr>
      </w:pPr>
      <w:bookmarkStart w:id="8" w:name="_Toc7470"/>
      <w:r>
        <w:rPr>
          <w:rFonts w:hint="eastAsia" w:ascii="黑体" w:hAnsi="黑体" w:eastAsia="黑体" w:cs="黑体"/>
          <w:b/>
          <w:bCs/>
          <w:i w:val="0"/>
          <w:iCs w:val="0"/>
          <w:caps w:val="0"/>
          <w:spacing w:val="0"/>
          <w:sz w:val="28"/>
          <w:szCs w:val="28"/>
        </w:rPr>
        <w:t>3个核心指标</w:t>
      </w:r>
      <w:r>
        <w:rPr>
          <w:rFonts w:hint="eastAsia" w:ascii="黑体" w:hAnsi="黑体" w:eastAsia="黑体" w:cs="黑体"/>
          <w:i w:val="0"/>
          <w:iCs w:val="0"/>
          <w:caps w:val="0"/>
          <w:spacing w:val="0"/>
          <w:sz w:val="28"/>
          <w:szCs w:val="28"/>
        </w:rPr>
        <w:t>：</w:t>
      </w:r>
      <w:bookmarkEnd w:id="8"/>
    </w:p>
    <w:p w14:paraId="0B6BD130">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jc w:val="left"/>
        <w:textAlignment w:val="auto"/>
        <w:outlineLvl w:val="9"/>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系统综合锈蚀识别准确率≥95%，能够稳定识别0.1mm级早期点锈与薄锈缺陷；</w:t>
      </w:r>
    </w:p>
    <w:p w14:paraId="621A9D0F">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jc w:val="left"/>
        <w:textAlignment w:val="auto"/>
        <w:outlineLvl w:val="9"/>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复杂工业现场环境下伪缺陷误检率≤4%，大幅减少人工复核工作量；</w:t>
      </w:r>
    </w:p>
    <w:p w14:paraId="0F22BDBE">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jc w:val="left"/>
        <w:textAlignment w:val="auto"/>
        <w:outlineLvl w:val="9"/>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整套设备轻量化设计，单工位硬件成本≤8000元，远低于传统工业视觉质检设备投入，性价比优势显著，适配中小制造企业低成本智能化升级。</w:t>
      </w:r>
    </w:p>
    <w:p w14:paraId="25C1106E">
      <w:pPr>
        <w:pStyle w:val="12"/>
        <w:keepNext w:val="0"/>
        <w:keepLines w:val="0"/>
        <w:widowControl/>
        <w:suppressLineNumbers w:val="0"/>
        <w:spacing w:before="0" w:beforeAutospacing="0" w:after="0" w:afterAutospacing="0"/>
        <w:ind w:left="0" w:leftChars="0" w:right="0" w:rightChars="0"/>
        <w:jc w:val="left"/>
        <w:outlineLvl w:val="9"/>
        <w:rPr>
          <w:rFonts w:hint="eastAsia" w:ascii="黑体" w:hAnsi="黑体" w:eastAsia="黑体" w:cs="黑体"/>
          <w:b/>
          <w:bCs/>
          <w:i w:val="0"/>
          <w:iCs w:val="0"/>
          <w:color w:val="000000"/>
          <w:spacing w:val="0"/>
          <w:w w:val="100"/>
          <w:sz w:val="36"/>
          <w:szCs w:val="36"/>
          <w:vertAlign w:val="baseline"/>
        </w:rPr>
      </w:pPr>
    </w:p>
    <w:p w14:paraId="18BC0FA8">
      <w:pPr>
        <w:pStyle w:val="12"/>
        <w:keepNext w:val="0"/>
        <w:keepLines w:val="0"/>
        <w:widowControl/>
        <w:suppressLineNumbers w:val="0"/>
        <w:spacing w:before="0" w:beforeAutospacing="0" w:after="0" w:afterAutospacing="0"/>
        <w:ind w:left="0" w:leftChars="0" w:right="0" w:rightChars="0"/>
        <w:jc w:val="left"/>
        <w:outlineLvl w:val="0"/>
        <w:rPr>
          <w:rFonts w:ascii="Segoe UI Emoji" w:hAnsi="Segoe UI Emoji" w:eastAsia="Segoe UI Emoji" w:cs="Segoe UI Emoji"/>
          <w:i w:val="0"/>
          <w:iCs w:val="0"/>
          <w:caps w:val="0"/>
          <w:spacing w:val="0"/>
          <w:sz w:val="24"/>
          <w:szCs w:val="24"/>
        </w:rPr>
      </w:pPr>
      <w:bookmarkStart w:id="9" w:name="_Toc18011"/>
      <w:r>
        <w:rPr>
          <w:rFonts w:hint="eastAsia" w:ascii="黑体" w:hAnsi="黑体" w:eastAsia="黑体" w:cs="黑体"/>
          <w:b/>
          <w:bCs/>
          <w:i w:val="0"/>
          <w:iCs w:val="0"/>
          <w:color w:val="000000"/>
          <w:spacing w:val="0"/>
          <w:w w:val="100"/>
          <w:sz w:val="36"/>
          <w:szCs w:val="36"/>
          <w:vertAlign w:val="baseline"/>
        </w:rPr>
        <w:t>1.3 团队战略</w:t>
      </w:r>
      <w:bookmarkEnd w:id="6"/>
      <w:bookmarkEnd w:id="9"/>
    </w:p>
    <w:p w14:paraId="6D852B6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firstLine="562" w:firstLineChars="200"/>
        <w:jc w:val="both"/>
        <w:textAlignment w:val="auto"/>
        <w:rPr>
          <w:rFonts w:hint="eastAsia" w:ascii="宋体" w:hAnsi="宋体" w:eastAsia="宋体" w:cs="宋体"/>
          <w:i w:val="0"/>
          <w:iCs w:val="0"/>
          <w:caps w:val="0"/>
          <w:spacing w:val="0"/>
          <w:sz w:val="24"/>
          <w:szCs w:val="24"/>
        </w:rPr>
      </w:pPr>
      <w:r>
        <w:rPr>
          <w:rFonts w:hint="eastAsia" w:ascii="黑体" w:hAnsi="黑体" w:eastAsia="黑体" w:cs="黑体"/>
          <w:b/>
          <w:bCs/>
          <w:i w:val="0"/>
          <w:iCs w:val="0"/>
          <w:caps w:val="0"/>
          <w:spacing w:val="0"/>
          <w:sz w:val="28"/>
          <w:szCs w:val="28"/>
        </w:rPr>
        <w:t>1-2年（技术试点期）：</w:t>
      </w:r>
      <w:r>
        <w:rPr>
          <w:rFonts w:hint="eastAsia" w:ascii="宋体" w:hAnsi="宋体" w:eastAsia="宋体" w:cs="宋体"/>
          <w:i w:val="0"/>
          <w:iCs w:val="0"/>
          <w:caps w:val="0"/>
          <w:spacing w:val="0"/>
          <w:sz w:val="24"/>
          <w:szCs w:val="24"/>
        </w:rPr>
        <w:t>聚焦核心技术打磨与产品定型，持续优化强光成像模组与智能检测算法，完成系统工业化性能迭代。通过与多家区域标杆钢材企业开展试点落地，积累工业场景数据、完善产品功能，验证项目技术可行性与商业化落地模式，形成标准化落地方案。</w:t>
      </w:r>
    </w:p>
    <w:p w14:paraId="1342AB5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firstLine="562" w:firstLineChars="200"/>
        <w:jc w:val="both"/>
        <w:textAlignment w:val="auto"/>
        <w:rPr>
          <w:rFonts w:hint="eastAsia" w:ascii="宋体" w:hAnsi="宋体" w:eastAsia="宋体" w:cs="宋体"/>
          <w:i w:val="0"/>
          <w:iCs w:val="0"/>
          <w:caps w:val="0"/>
          <w:spacing w:val="0"/>
          <w:sz w:val="24"/>
          <w:szCs w:val="24"/>
        </w:rPr>
      </w:pPr>
      <w:r>
        <w:rPr>
          <w:rFonts w:hint="eastAsia" w:ascii="黑体" w:hAnsi="黑体" w:eastAsia="黑体" w:cs="黑体"/>
          <w:b/>
          <w:bCs/>
          <w:i w:val="0"/>
          <w:iCs w:val="0"/>
          <w:caps w:val="0"/>
          <w:spacing w:val="0"/>
          <w:sz w:val="28"/>
          <w:szCs w:val="28"/>
        </w:rPr>
        <w:t>3-4年（市场扩张期）：</w:t>
      </w:r>
      <w:r>
        <w:rPr>
          <w:rFonts w:hint="eastAsia" w:ascii="宋体" w:hAnsi="宋体" w:eastAsia="宋体" w:cs="宋体"/>
          <w:i w:val="0"/>
          <w:iCs w:val="0"/>
          <w:caps w:val="0"/>
          <w:spacing w:val="0"/>
          <w:sz w:val="24"/>
          <w:szCs w:val="24"/>
        </w:rPr>
        <w:t>完成多品类钢材质检产品迭代升级，覆盖板材、型材、管材等主流应用场景。搭建两广产业集群销售渠道体系，规模化开拓中小钢材企业市场，快速扩大客户体量与行业影响力，稳步提升区域细分市场占有率，树立行业品牌口碑。</w:t>
      </w:r>
    </w:p>
    <w:p w14:paraId="79D06E0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firstLine="562" w:firstLineChars="200"/>
        <w:jc w:val="both"/>
        <w:textAlignment w:val="auto"/>
        <w:rPr>
          <w:rFonts w:hint="eastAsia" w:ascii="宋体" w:hAnsi="宋体" w:eastAsia="宋体" w:cs="宋体"/>
          <w:i w:val="0"/>
          <w:iCs w:val="0"/>
          <w:caps w:val="0"/>
          <w:spacing w:val="0"/>
          <w:sz w:val="24"/>
          <w:szCs w:val="24"/>
        </w:rPr>
      </w:pPr>
      <w:r>
        <w:rPr>
          <w:rFonts w:hint="eastAsia" w:ascii="黑体" w:hAnsi="黑体" w:eastAsia="黑体" w:cs="黑体"/>
          <w:b/>
          <w:bCs/>
          <w:i w:val="0"/>
          <w:iCs w:val="0"/>
          <w:caps w:val="0"/>
          <w:spacing w:val="0"/>
          <w:sz w:val="28"/>
          <w:szCs w:val="28"/>
        </w:rPr>
        <w:t>5年及以上（生态引领期）：</w:t>
      </w:r>
      <w:r>
        <w:rPr>
          <w:rFonts w:hint="eastAsia" w:ascii="宋体" w:hAnsi="宋体" w:eastAsia="宋体" w:cs="宋体"/>
          <w:i w:val="0"/>
          <w:iCs w:val="0"/>
          <w:caps w:val="0"/>
          <w:spacing w:val="0"/>
          <w:sz w:val="24"/>
          <w:szCs w:val="24"/>
        </w:rPr>
        <w:t>基于成熟的钢材质检技术体系，横向拓展铝、铜、不锈钢等多类金属材料质检场景，打造通用型轻量化工业视觉质检平台。同时布局海外新兴市场，构建国内外双向发展格局，逐步成长为轻量化智能质检赛道的行业领军品牌。</w:t>
      </w:r>
    </w:p>
    <w:p w14:paraId="456093DF">
      <w:pPr>
        <w:pStyle w:val="12"/>
        <w:keepNext w:val="0"/>
        <w:keepLines w:val="0"/>
        <w:widowControl/>
        <w:suppressLineNumbers w:val="0"/>
        <w:spacing w:before="0" w:beforeAutospacing="0" w:after="0" w:afterAutospacing="0"/>
        <w:ind w:left="360" w:right="0"/>
        <w:jc w:val="both"/>
        <w:rPr>
          <w:rFonts w:ascii="Segoe UI Emoji" w:hAnsi="Segoe UI Emoji" w:eastAsia="Segoe UI Emoji" w:cs="Segoe UI Emoji"/>
          <w:i w:val="0"/>
          <w:iCs w:val="0"/>
          <w:caps w:val="0"/>
          <w:spacing w:val="0"/>
          <w:sz w:val="24"/>
          <w:szCs w:val="24"/>
        </w:rPr>
      </w:pPr>
    </w:p>
    <w:p w14:paraId="105973D9">
      <w:pPr>
        <w:pStyle w:val="12"/>
        <w:keepNext w:val="0"/>
        <w:keepLines w:val="0"/>
        <w:widowControl/>
        <w:suppressLineNumbers w:val="0"/>
        <w:spacing w:before="0" w:beforeAutospacing="0" w:after="0" w:afterAutospacing="0"/>
        <w:ind w:right="0"/>
        <w:jc w:val="center"/>
      </w:pPr>
      <w:r>
        <w:drawing>
          <wp:inline distT="0" distB="0" distL="114300" distR="114300">
            <wp:extent cx="4417695" cy="2442845"/>
            <wp:effectExtent l="0" t="0" r="1905" b="8255"/>
            <wp:docPr id="3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descr="IMG_256"/>
                    <pic:cNvPicPr>
                      <a:picLocks noChangeAspect="1"/>
                    </pic:cNvPicPr>
                  </pic:nvPicPr>
                  <pic:blipFill>
                    <a:blip r:embed="rId11"/>
                    <a:stretch>
                      <a:fillRect/>
                    </a:stretch>
                  </pic:blipFill>
                  <pic:spPr>
                    <a:xfrm>
                      <a:off x="0" y="0"/>
                      <a:ext cx="4417695" cy="2442845"/>
                    </a:xfrm>
                    <a:prstGeom prst="rect">
                      <a:avLst/>
                    </a:prstGeom>
                    <a:noFill/>
                    <a:ln w="9525">
                      <a:noFill/>
                    </a:ln>
                  </pic:spPr>
                </pic:pic>
              </a:graphicData>
            </a:graphic>
          </wp:inline>
        </w:drawing>
      </w:r>
    </w:p>
    <w:p w14:paraId="201A7379">
      <w:pPr>
        <w:pStyle w:val="12"/>
        <w:keepNext w:val="0"/>
        <w:keepLines w:val="0"/>
        <w:widowControl/>
        <w:suppressLineNumbers w:val="0"/>
        <w:spacing w:before="0" w:beforeAutospacing="0" w:after="0" w:afterAutospacing="0"/>
        <w:ind w:right="0"/>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图1-1钢材智能质检三阶段规划</w:t>
      </w:r>
      <w:r>
        <w:rPr>
          <w:rFonts w:hint="eastAsia" w:ascii="宋体" w:hAnsi="宋体" w:eastAsia="宋体" w:cs="宋体"/>
          <w:sz w:val="18"/>
          <w:szCs w:val="18"/>
          <w:lang w:eastAsia="zh-CN"/>
        </w:rPr>
        <w:t>）</w:t>
      </w:r>
    </w:p>
    <w:p w14:paraId="610A362C">
      <w:pPr>
        <w:pStyle w:val="12"/>
        <w:keepNext w:val="0"/>
        <w:keepLines w:val="0"/>
        <w:widowControl/>
        <w:suppressLineNumbers w:val="0"/>
        <w:spacing w:before="0" w:beforeAutospacing="0" w:after="0" w:afterAutospacing="0"/>
        <w:ind w:right="0"/>
        <w:jc w:val="both"/>
      </w:pPr>
    </w:p>
    <w:p w14:paraId="00609C71">
      <w:pPr>
        <w:pStyle w:val="12"/>
        <w:keepNext w:val="0"/>
        <w:keepLines w:val="0"/>
        <w:widowControl/>
        <w:suppressLineNumbers w:val="0"/>
        <w:spacing w:before="0" w:beforeAutospacing="0" w:after="0" w:afterAutospacing="0"/>
        <w:ind w:left="0" w:leftChars="0" w:right="0" w:rightChars="0"/>
        <w:jc w:val="left"/>
        <w:outlineLvl w:val="0"/>
      </w:pPr>
      <w:bookmarkStart w:id="10" w:name="_Toc16556"/>
      <w:bookmarkStart w:id="11" w:name="_Toc3204"/>
      <w:r>
        <w:rPr>
          <w:rFonts w:hint="eastAsia" w:ascii="黑体" w:hAnsi="黑体" w:eastAsia="黑体" w:cs="黑体"/>
          <w:b/>
          <w:bCs/>
          <w:i w:val="0"/>
          <w:iCs w:val="0"/>
          <w:color w:val="000000"/>
          <w:spacing w:val="0"/>
          <w:w w:val="100"/>
          <w:sz w:val="36"/>
          <w:szCs w:val="36"/>
          <w:vertAlign w:val="baseline"/>
        </w:rPr>
        <w:t>1.4 市场分析</w:t>
      </w:r>
      <w:bookmarkEnd w:id="10"/>
      <w:bookmarkEnd w:id="11"/>
    </w:p>
    <w:p w14:paraId="13F4BB5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国内工业AI质检行业高速发展，其中钢材细分质检市场规模接近60亿元，行业整体智能化升级需求旺盛。目前钢材质检智能化整体渗透率偏低，占据行业主体的中小钢材企业智能质检渗透率不足3%，市场存在巨大数字化升级缺口。适配中小厂需求的轻量化智能质检方案增速达35%，属于典型的增量蓝海赛道，市场发展潜力十足。同时，东南亚等海外新兴制造业市场智能质检普及率极低，性价比轻量化质检方案需求旺盛，具备良好的出海拓展潜力，为本项目提供了国内外双向的增长空间。</w:t>
      </w:r>
    </w:p>
    <w:p w14:paraId="00B75A5D">
      <w:pPr>
        <w:pStyle w:val="12"/>
        <w:keepNext w:val="0"/>
        <w:keepLines w:val="0"/>
        <w:widowControl/>
        <w:suppressLineNumbers w:val="0"/>
        <w:spacing w:before="0" w:beforeAutospacing="0" w:after="0" w:afterAutospacing="0"/>
        <w:ind w:left="0" w:right="0"/>
        <w:jc w:val="center"/>
      </w:pPr>
      <w:r>
        <w:drawing>
          <wp:inline distT="0" distB="0" distL="114300" distR="114300">
            <wp:extent cx="4448175" cy="5081270"/>
            <wp:effectExtent l="0" t="0" r="9525" b="11430"/>
            <wp:docPr id="35" name="图片 1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descr="IMG_257"/>
                    <pic:cNvPicPr>
                      <a:picLocks noChangeAspect="1"/>
                    </pic:cNvPicPr>
                  </pic:nvPicPr>
                  <pic:blipFill>
                    <a:blip r:embed="rId12"/>
                    <a:stretch>
                      <a:fillRect/>
                    </a:stretch>
                  </pic:blipFill>
                  <pic:spPr>
                    <a:xfrm>
                      <a:off x="0" y="0"/>
                      <a:ext cx="4448175" cy="5081270"/>
                    </a:xfrm>
                    <a:prstGeom prst="rect">
                      <a:avLst/>
                    </a:prstGeom>
                    <a:noFill/>
                    <a:ln w="9525">
                      <a:noFill/>
                    </a:ln>
                  </pic:spPr>
                </pic:pic>
              </a:graphicData>
            </a:graphic>
          </wp:inline>
        </w:drawing>
      </w:r>
    </w:p>
    <w:p w14:paraId="2B268364">
      <w:pPr>
        <w:pStyle w:val="12"/>
        <w:keepNext w:val="0"/>
        <w:keepLines w:val="0"/>
        <w:widowControl/>
        <w:suppressLineNumbers w:val="0"/>
        <w:spacing w:before="0" w:beforeAutospacing="0" w:after="0" w:afterAutospacing="0"/>
        <w:ind w:right="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图1-2钢材智能质检市场分析</w:t>
      </w:r>
      <w:r>
        <w:rPr>
          <w:rFonts w:hint="eastAsia" w:ascii="宋体" w:hAnsi="宋体" w:eastAsia="宋体" w:cs="宋体"/>
          <w:sz w:val="18"/>
          <w:szCs w:val="18"/>
          <w:lang w:eastAsia="zh-CN"/>
        </w:rPr>
        <w:t>）</w:t>
      </w:r>
    </w:p>
    <w:p w14:paraId="4CA7E2D3">
      <w:pPr>
        <w:pStyle w:val="12"/>
        <w:keepNext w:val="0"/>
        <w:keepLines w:val="0"/>
        <w:widowControl/>
        <w:suppressLineNumbers w:val="0"/>
        <w:spacing w:before="0" w:beforeAutospacing="0" w:after="0" w:afterAutospacing="0"/>
        <w:ind w:right="0"/>
        <w:jc w:val="both"/>
        <w:rPr>
          <w:rFonts w:hint="default"/>
          <w:sz w:val="18"/>
          <w:szCs w:val="18"/>
          <w:lang w:val="en-US" w:eastAsia="zh-CN"/>
        </w:rPr>
      </w:pPr>
    </w:p>
    <w:p w14:paraId="55594E1A">
      <w:pPr>
        <w:pStyle w:val="12"/>
        <w:keepNext w:val="0"/>
        <w:keepLines w:val="0"/>
        <w:widowControl/>
        <w:suppressLineNumbers w:val="0"/>
        <w:spacing w:before="0" w:beforeAutospacing="0" w:after="0" w:afterAutospacing="0"/>
        <w:ind w:left="0" w:right="0"/>
        <w:jc w:val="left"/>
      </w:pPr>
    </w:p>
    <w:p w14:paraId="1362072F">
      <w:pPr>
        <w:pStyle w:val="12"/>
        <w:keepNext w:val="0"/>
        <w:keepLines w:val="0"/>
        <w:widowControl/>
        <w:suppressLineNumbers w:val="0"/>
        <w:spacing w:before="0" w:beforeAutospacing="0" w:after="0" w:afterAutospacing="0"/>
        <w:ind w:left="0" w:leftChars="0" w:right="0" w:rightChars="0"/>
        <w:jc w:val="left"/>
        <w:outlineLvl w:val="0"/>
        <w:rPr>
          <w:rFonts w:hint="eastAsia" w:ascii="黑体" w:hAnsi="黑体" w:eastAsia="黑体" w:cs="黑体"/>
          <w:sz w:val="36"/>
          <w:szCs w:val="36"/>
        </w:rPr>
      </w:pPr>
      <w:bookmarkStart w:id="12" w:name="_Toc2403"/>
      <w:bookmarkStart w:id="13" w:name="_Toc30254"/>
      <w:r>
        <w:rPr>
          <w:rFonts w:hint="eastAsia" w:ascii="黑体" w:hAnsi="黑体" w:eastAsia="黑体" w:cs="黑体"/>
          <w:b/>
          <w:bCs/>
          <w:i w:val="0"/>
          <w:iCs w:val="0"/>
          <w:color w:val="000000"/>
          <w:spacing w:val="0"/>
          <w:w w:val="100"/>
          <w:sz w:val="36"/>
          <w:szCs w:val="36"/>
          <w:vertAlign w:val="baseline"/>
        </w:rPr>
        <w:t>1.5 投资分析</w:t>
      </w:r>
      <w:bookmarkEnd w:id="12"/>
      <w:bookmarkEnd w:id="13"/>
    </w:p>
    <w:p w14:paraId="6D3F063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国内工业AI质检行业高速发展，钢材细分质检市场规模接近60亿元，增长态势良好。当前中小钢材企业智能质检渗透率不足3%，适配中小厂的轻量化质检方案增速达35%，属于典型蓝海市场，增量空间广阔。同时东南亚等海外新兴制造业市场需求旺盛，项目具备良好的出海拓展潜力。</w:t>
      </w:r>
    </w:p>
    <w:p w14:paraId="7201482C">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ind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ascii="宋体" w:hAnsi="宋体" w:eastAsia="宋体" w:cs="宋体"/>
          <w:kern w:val="0"/>
          <w:sz w:val="24"/>
          <w:szCs w:val="24"/>
          <w:lang w:val="en-US" w:eastAsia="zh-CN" w:bidi="ar"/>
        </w:rPr>
        <w:t>本项目采用阶梯式投入布局，种子期投入5万元、成长期投入20万元、成熟期投入50万元，分阶段支撑产品研发、市场落地与生态拓展。项目投资回收期为2-2.5年，资金周转效率优异。预计五年内项目年营收将从60万元增长至1040万元，整体成长性突出，盈利潜力充足。</w:t>
      </w:r>
    </w:p>
    <w:p w14:paraId="106726F2">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center"/>
        <w:textAlignment w:val="auto"/>
        <w:outlineLvl w:val="0"/>
        <w:rPr>
          <w:b/>
          <w:bCs/>
          <w:sz w:val="44"/>
          <w:szCs w:val="44"/>
        </w:rPr>
      </w:pPr>
      <w:bookmarkStart w:id="14" w:name="_Toc16690"/>
      <w:bookmarkStart w:id="15" w:name="_Toc26457"/>
      <w:r>
        <w:rPr>
          <w:rFonts w:hint="eastAsia" w:ascii="黑体" w:hAnsi="黑体" w:eastAsia="黑体" w:cs="黑体"/>
          <w:b/>
          <w:bCs/>
          <w:sz w:val="44"/>
          <w:szCs w:val="44"/>
        </w:rPr>
        <w:t>第二章 产品与技术</w:t>
      </w:r>
      <w:bookmarkEnd w:id="14"/>
    </w:p>
    <w:p w14:paraId="7E2F9DC6">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16" w:name="_Toc21198"/>
      <w:r>
        <w:rPr>
          <w:rFonts w:hint="eastAsia" w:ascii="黑体" w:hAnsi="黑体" w:eastAsia="黑体" w:cs="黑体"/>
          <w:sz w:val="36"/>
          <w:szCs w:val="36"/>
        </w:rPr>
        <w:t>2.1 技术背景</w:t>
      </w:r>
      <w:bookmarkEnd w:id="16"/>
    </w:p>
    <w:p w14:paraId="53DAEA0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我国钢材质检技术历经人工目检、传统机器视觉、AI智能质检三代迭代，传统人工检测存在漏检率高、标准不一、人力成本高昂等弊端，传统机器视觉方案部署成本高、伪缺陷误检严重、难以识别早期微弱锈蚀缺陷，现有AI质检设备仍存在硬件成本高、落地难度大、无法下沉中小工厂的行业痛点。本项目打破传统算法优化的固有思路，从光学成像源头创新，结合轻量化AI算法，打造低成本、高精度、易落地的新一代钢材质检方案，填补中小钢材企业智能质检的市场空白。</w:t>
      </w:r>
    </w:p>
    <w:p w14:paraId="0B30B1B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3014DA33">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17" w:name="_Toc26100"/>
      <w:r>
        <w:rPr>
          <w:rFonts w:hint="eastAsia" w:ascii="黑体" w:hAnsi="黑体" w:eastAsia="黑体" w:cs="黑体"/>
          <w:sz w:val="36"/>
          <w:szCs w:val="36"/>
        </w:rPr>
        <w:t>2.2 核心技术创新：多角度强光辅助成像技术</w:t>
      </w:r>
      <w:bookmarkEnd w:id="17"/>
    </w:p>
    <w:p w14:paraId="60CA450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本技术为项目核心差异化创新点，首创多角度差异打光成像方式，从光学层面放大钢材微弱缺陷特征，解决传统光源早期缺陷看不清、辨识度低的行业难题。</w:t>
      </w:r>
    </w:p>
    <w:p w14:paraId="199820B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技术原理</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系统搭载4-6组独立可控LED条形光源，以15°-45°多角度倾角对称布置于工业相机两侧，对钢材表面进行差异化补光。利用物理反光特性差异，粗糙的锈蚀区域会产生漫反射形成明显明暗特征，而光滑基材、油污表面呈现均匀镜面反射，通过多角度图像采集对比，将肉眼无法识别的0.1mm级早期点锈、薄锈转化为高对比度可视化特征，从源头提升缺陷识别精度。</w:t>
      </w:r>
    </w:p>
    <w:p w14:paraId="00AF96D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技术优势</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一是检测下限极低，可精准捕捉微米级早期锈蚀缺陷，检测灵敏度较传统方案提升3倍以上；二是抗干扰能力强，依托反光特征差异，可初步区分锈蚀与油污、灰尘、水印等干扰物，降低算法识别压力；三是场景适配广泛，光源角度、亮度可软件调节，适配热轧板、冷轧板、型材等各类钢材品类；四是硬件成本低廉，采用民用工业级LED光源模组，无需昂贵光学设备，大幅降低智能化部署门槛。</w:t>
      </w:r>
    </w:p>
    <w:p w14:paraId="36959CC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center"/>
        <w:textAlignment w:val="auto"/>
        <w:outlineLvl w:val="9"/>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drawing>
          <wp:inline distT="0" distB="0" distL="114300" distR="114300">
            <wp:extent cx="4749800" cy="2668270"/>
            <wp:effectExtent l="0" t="0" r="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4749800" cy="2668270"/>
                    </a:xfrm>
                    <a:prstGeom prst="rect">
                      <a:avLst/>
                    </a:prstGeom>
                    <a:noFill/>
                    <a:ln>
                      <a:noFill/>
                    </a:ln>
                  </pic:spPr>
                </pic:pic>
              </a:graphicData>
            </a:graphic>
          </wp:inline>
        </w:drawing>
      </w:r>
    </w:p>
    <w:p w14:paraId="53C1F508">
      <w:pPr>
        <w:pStyle w:val="12"/>
        <w:keepNext w:val="0"/>
        <w:keepLines w:val="0"/>
        <w:widowControl/>
        <w:suppressLineNumbers w:val="0"/>
        <w:spacing w:before="0" w:beforeAutospacing="0" w:after="0" w:afterAutospacing="0"/>
        <w:ind w:right="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图2-1多角度强光辅助成像技术示意图</w:t>
      </w:r>
      <w:r>
        <w:rPr>
          <w:rFonts w:hint="eastAsia" w:ascii="宋体" w:hAnsi="宋体" w:eastAsia="宋体" w:cs="宋体"/>
          <w:sz w:val="18"/>
          <w:szCs w:val="18"/>
          <w:lang w:eastAsia="zh-CN"/>
        </w:rPr>
        <w:t>）</w:t>
      </w:r>
    </w:p>
    <w:p w14:paraId="151E0FB1">
      <w:pPr>
        <w:pStyle w:val="12"/>
        <w:keepNext w:val="0"/>
        <w:keepLines w:val="0"/>
        <w:widowControl/>
        <w:suppressLineNumbers w:val="0"/>
        <w:spacing w:before="0" w:beforeAutospacing="0" w:after="0" w:afterAutospacing="0"/>
        <w:ind w:right="0"/>
        <w:jc w:val="center"/>
        <w:rPr>
          <w:rFonts w:hint="eastAsia" w:ascii="宋体" w:hAnsi="宋体" w:eastAsia="宋体" w:cs="宋体"/>
          <w:sz w:val="18"/>
          <w:szCs w:val="18"/>
          <w:lang w:val="en-US" w:eastAsia="zh-CN"/>
        </w:rPr>
      </w:pPr>
    </w:p>
    <w:p w14:paraId="4FD862AF">
      <w:pPr>
        <w:rPr>
          <w:rFonts w:hint="eastAsia"/>
        </w:rPr>
      </w:pPr>
    </w:p>
    <w:p w14:paraId="30F92370">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18" w:name="_Toc13508"/>
      <w:r>
        <w:rPr>
          <w:rFonts w:hint="eastAsia" w:ascii="黑体" w:hAnsi="黑体" w:eastAsia="黑体" w:cs="黑体"/>
          <w:sz w:val="36"/>
          <w:szCs w:val="36"/>
        </w:rPr>
        <w:t>2.3 算法技术路线：三级联动算法架构</w:t>
      </w:r>
      <w:bookmarkEnd w:id="18"/>
    </w:p>
    <w:p w14:paraId="3786FEB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本项目基于YOLOv8-seg网络架构，针对工业复杂质检场景优化迭代，构建“图像增强-智能分割-伪缺陷滤除”三级联动轻量化算法体系，兼顾检测精度与运行速度，适配边缘设备实时检测需求。</w:t>
      </w:r>
    </w:p>
    <w:p w14:paraId="4D63959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第一级：前置图像增强模块</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对多角度采集的原始图像进行去噪矫正、多帧融合、直方图均衡化与细节锐化处理，有效解决车间强光反光、画面模糊、对比度低等问题，强化缺陷边缘纹理特征，为后续检测算法提供高质量图像输入，模块运算量小，可实现边缘端实时运行。</w:t>
      </w:r>
    </w:p>
    <w:p w14:paraId="78C8138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第二级：改进型YOLOv8-seg像素级分割网络</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针对钢材微小缺陷检测痛点完成三重优化，新增小目标检测头，适配点锈、微裂纹等极小目标识别；引入CBAM注意力机制，引导模型精准聚焦缺陷区域，抑制背景干扰；采用Ghost卷积替换传统卷积，模型参数量减少35%，推理速度提升40%，适配低成本边缘网关设备运行。</w:t>
      </w:r>
    </w:p>
    <w:p w14:paraId="1056D98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rFonts w:ascii="宋体" w:hAnsi="宋体" w:eastAsia="宋体" w:cs="宋体"/>
          <w:kern w:val="0"/>
          <w:sz w:val="24"/>
          <w:szCs w:val="24"/>
          <w:lang w:val="en-US" w:eastAsia="zh-CN" w:bidi="ar"/>
        </w:rPr>
      </w:pPr>
      <w:r>
        <w:rPr>
          <w:rStyle w:val="15"/>
          <w:rFonts w:hint="eastAsia" w:ascii="黑体" w:hAnsi="黑体" w:eastAsia="黑体" w:cs="黑体"/>
          <w:kern w:val="0"/>
          <w:sz w:val="28"/>
          <w:szCs w:val="28"/>
          <w:lang w:val="en-US" w:eastAsia="zh-CN" w:bidi="ar"/>
        </w:rPr>
        <w:t>第三级：后置伪缺陷智能滤除模块</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对算法初步识别的候选缺陷，提取面积、灰度、反光率、纹理熵等12维几何与光学特征，结合SVM分类器与自建工业伪缺陷样本库完成二次甄别，精准剔除油污、灰尘、表面划痕等干扰因素，杜绝误检问题。</w:t>
      </w:r>
    </w:p>
    <w:p w14:paraId="3120C32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center"/>
        <w:textAlignment w:val="auto"/>
        <w:rPr>
          <w:rFonts w:ascii="宋体" w:hAnsi="宋体" w:eastAsia="宋体" w:cs="宋体"/>
          <w:kern w:val="0"/>
          <w:sz w:val="24"/>
          <w:szCs w:val="24"/>
          <w:lang w:val="en-US" w:eastAsia="zh-CN" w:bidi="ar"/>
        </w:rPr>
      </w:pPr>
      <w:r>
        <w:drawing>
          <wp:inline distT="0" distB="0" distL="114300" distR="114300">
            <wp:extent cx="4945380" cy="2586990"/>
            <wp:effectExtent l="0" t="0" r="7620"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4"/>
                    <a:stretch>
                      <a:fillRect/>
                    </a:stretch>
                  </pic:blipFill>
                  <pic:spPr>
                    <a:xfrm>
                      <a:off x="0" y="0"/>
                      <a:ext cx="4945380" cy="2586990"/>
                    </a:xfrm>
                    <a:prstGeom prst="rect">
                      <a:avLst/>
                    </a:prstGeom>
                    <a:noFill/>
                    <a:ln>
                      <a:noFill/>
                    </a:ln>
                  </pic:spPr>
                </pic:pic>
              </a:graphicData>
            </a:graphic>
          </wp:inline>
        </w:drawing>
      </w:r>
    </w:p>
    <w:p w14:paraId="37E3114D">
      <w:pPr>
        <w:pStyle w:val="12"/>
        <w:keepNext w:val="0"/>
        <w:keepLines w:val="0"/>
        <w:widowControl/>
        <w:suppressLineNumbers w:val="0"/>
        <w:spacing w:before="0" w:beforeAutospacing="0" w:after="0" w:afterAutospacing="0"/>
        <w:ind w:right="0"/>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图2-2算法技术路线示意图</w:t>
      </w:r>
      <w:r>
        <w:rPr>
          <w:rFonts w:hint="eastAsia" w:ascii="宋体" w:hAnsi="宋体" w:eastAsia="宋体" w:cs="宋体"/>
          <w:sz w:val="18"/>
          <w:szCs w:val="18"/>
          <w:lang w:eastAsia="zh-CN"/>
        </w:rPr>
        <w:t>）</w:t>
      </w:r>
    </w:p>
    <w:p w14:paraId="0420885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ascii="宋体" w:hAnsi="宋体" w:eastAsia="宋体" w:cs="宋体"/>
          <w:kern w:val="0"/>
          <w:sz w:val="24"/>
          <w:szCs w:val="24"/>
          <w:lang w:val="en-US" w:eastAsia="zh-CN" w:bidi="ar"/>
        </w:rPr>
      </w:pPr>
    </w:p>
    <w:p w14:paraId="5FD5236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286C406B">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19" w:name="_Toc20223"/>
      <w:r>
        <w:rPr>
          <w:rFonts w:hint="eastAsia" w:ascii="黑体" w:hAnsi="黑体" w:eastAsia="黑体" w:cs="黑体"/>
          <w:sz w:val="36"/>
          <w:szCs w:val="36"/>
        </w:rPr>
        <w:t>2.4 配套检测能力</w:t>
      </w:r>
      <w:bookmarkEnd w:id="19"/>
    </w:p>
    <w:p w14:paraId="6041F9F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锈蚀等级智能判定</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严格对标GB/T 8923.1-2011国家钢材表面锈蚀等级标准，通过算法精准计算锈蚀区域面积占比、分布密度与形态特征，自动完成A/B/C/D四级锈蚀等级智能判定，同时支持企业根据自身生产需求自定义检测阈值，灵活适配各类质检标准。</w:t>
      </w:r>
    </w:p>
    <w:p w14:paraId="5389160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rFonts w:ascii="宋体" w:hAnsi="宋体" w:eastAsia="宋体" w:cs="宋体"/>
          <w:kern w:val="0"/>
          <w:sz w:val="24"/>
          <w:szCs w:val="24"/>
          <w:lang w:val="en-US" w:eastAsia="zh-CN" w:bidi="ar"/>
        </w:rPr>
      </w:pPr>
      <w:r>
        <w:rPr>
          <w:rStyle w:val="15"/>
          <w:rFonts w:hint="eastAsia" w:ascii="黑体" w:hAnsi="黑体" w:eastAsia="黑体" w:cs="黑体"/>
          <w:kern w:val="0"/>
          <w:sz w:val="28"/>
          <w:szCs w:val="28"/>
          <w:lang w:val="en-US" w:eastAsia="zh-CN" w:bidi="ar"/>
        </w:rPr>
        <w:t>端面微裂纹检测</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采用“边缘提取初筛+深度学习复核”的融合检测方案，先通过高精度边缘算法筛选疑似裂纹区域，过滤氧化皮、划痕等无效干扰，再通过轻量化AI模型精准判定缺陷，可识别低至0.05mm的端面微裂纹，同步估算裂纹长度与延伸趋势，覆盖钢材加工微小损伤质检需求。</w:t>
      </w:r>
    </w:p>
    <w:p w14:paraId="70B10F1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56BEDF0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6FDE8DC9">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20" w:name="_Toc19960"/>
      <w:r>
        <w:rPr>
          <w:rFonts w:hint="eastAsia" w:ascii="黑体" w:hAnsi="黑体" w:eastAsia="黑体" w:cs="黑体"/>
          <w:sz w:val="36"/>
          <w:szCs w:val="36"/>
        </w:rPr>
        <w:t>2.5 系统组成与落地方案</w:t>
      </w:r>
      <w:bookmarkEnd w:id="20"/>
    </w:p>
    <w:p w14:paraId="3B506AC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本系统采用分层模块化设计，整体分为硬件层、软件层、应用服务层，三层协同实现全流程智能化质检，同时依托轻量化外挂式设计，实现零改造、快部署，高度适配中小企业生产场景。</w:t>
      </w:r>
    </w:p>
    <w:p w14:paraId="08257BB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硬件层</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为系统核心感知载体，核心包含多角度可调LED光源模组、高清工业面阵相机、国产化边缘计算网关、声光报警模块，负责图像采集、实时运算与缺陷预警，硬件稳定性强、使用寿命长、采购成本低廉。</w:t>
      </w:r>
    </w:p>
    <w:p w14:paraId="5892252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软件层</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为系统智能核心，集成高精度算法引擎、全量数据管理系统、可视化操作平台，一站式完成缺陷检测、等级判定、数据存储、报表生成、参数配置等核心功能，操作简洁、可扩展性强。</w:t>
      </w:r>
    </w:p>
    <w:p w14:paraId="02A7C14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rFonts w:ascii="宋体" w:hAnsi="宋体" w:eastAsia="宋体" w:cs="宋体"/>
          <w:kern w:val="0"/>
          <w:sz w:val="24"/>
          <w:szCs w:val="24"/>
          <w:lang w:val="en-US" w:eastAsia="zh-CN" w:bidi="ar"/>
        </w:rPr>
      </w:pPr>
      <w:r>
        <w:rPr>
          <w:rStyle w:val="15"/>
          <w:rFonts w:hint="eastAsia" w:ascii="黑体" w:hAnsi="黑体" w:eastAsia="黑体" w:cs="黑体"/>
          <w:kern w:val="0"/>
          <w:sz w:val="28"/>
          <w:szCs w:val="28"/>
          <w:lang w:val="en-US" w:eastAsia="zh-CN" w:bidi="ar"/>
        </w:rPr>
        <w:t>应用层</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聚焦落地服务与价值延伸，包含现场部署调试、人员培训、算法迭代升级、定制化开发、质量数据分析咨询等配套服务，保障系统长效稳定运行。</w:t>
      </w:r>
    </w:p>
    <w:p w14:paraId="0EECA91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center"/>
        <w:textAlignment w:val="auto"/>
      </w:pPr>
      <w:r>
        <w:drawing>
          <wp:inline distT="0" distB="0" distL="114300" distR="114300">
            <wp:extent cx="4848225" cy="2529205"/>
            <wp:effectExtent l="0" t="0" r="3175" b="1079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5"/>
                    <a:stretch>
                      <a:fillRect/>
                    </a:stretch>
                  </pic:blipFill>
                  <pic:spPr>
                    <a:xfrm>
                      <a:off x="0" y="0"/>
                      <a:ext cx="4848225" cy="2529205"/>
                    </a:xfrm>
                    <a:prstGeom prst="rect">
                      <a:avLst/>
                    </a:prstGeom>
                    <a:noFill/>
                    <a:ln>
                      <a:noFill/>
                    </a:ln>
                  </pic:spPr>
                </pic:pic>
              </a:graphicData>
            </a:graphic>
          </wp:inline>
        </w:drawing>
      </w:r>
    </w:p>
    <w:p w14:paraId="0CCE7920">
      <w:pPr>
        <w:pStyle w:val="12"/>
        <w:keepNext w:val="0"/>
        <w:keepLines w:val="0"/>
        <w:widowControl/>
        <w:suppressLineNumbers w:val="0"/>
        <w:spacing w:before="0" w:beforeAutospacing="0" w:after="0" w:afterAutospacing="0"/>
        <w:ind w:right="0"/>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图2-3可视化质检系统示意图</w:t>
      </w:r>
      <w:r>
        <w:rPr>
          <w:rFonts w:hint="eastAsia" w:ascii="宋体" w:hAnsi="宋体" w:eastAsia="宋体" w:cs="宋体"/>
          <w:sz w:val="18"/>
          <w:szCs w:val="18"/>
          <w:lang w:eastAsia="zh-CN"/>
        </w:rPr>
        <w:t>）</w:t>
      </w:r>
    </w:p>
    <w:p w14:paraId="4D2931A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both"/>
        <w:textAlignment w:val="auto"/>
        <w:rPr>
          <w:rFonts w:hint="eastAsia"/>
        </w:rPr>
      </w:pPr>
    </w:p>
    <w:p w14:paraId="048F644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56262F4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外挂式落地部署方案</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系统采用标准化龙门式可调支架，跨装于输送带上方1.2-1.5米处，可适配不同带宽产线；光源、相机支持机械旋钮粗调+软件参数细调，快速适配各类钢材检测场景；边缘网关就近工位部署，有线网络低延迟传输数据；设备采用220V常规供电，无需改造原有产线与电路，无需停产调试，2小时即可完成全套部署并投入使用。</w:t>
      </w:r>
    </w:p>
    <w:p w14:paraId="6E2BA67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center"/>
        <w:textAlignment w:val="auto"/>
      </w:pPr>
      <w:r>
        <w:drawing>
          <wp:inline distT="0" distB="0" distL="114300" distR="114300">
            <wp:extent cx="4241800" cy="204343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4241800" cy="2043430"/>
                    </a:xfrm>
                    <a:prstGeom prst="rect">
                      <a:avLst/>
                    </a:prstGeom>
                    <a:noFill/>
                    <a:ln>
                      <a:noFill/>
                    </a:ln>
                  </pic:spPr>
                </pic:pic>
              </a:graphicData>
            </a:graphic>
          </wp:inline>
        </w:drawing>
      </w:r>
    </w:p>
    <w:p w14:paraId="76ABA5F2">
      <w:pPr>
        <w:pStyle w:val="12"/>
        <w:keepNext w:val="0"/>
        <w:keepLines w:val="0"/>
        <w:widowControl/>
        <w:suppressLineNumbers w:val="0"/>
        <w:spacing w:before="0" w:beforeAutospacing="0" w:after="0" w:afterAutospacing="0"/>
        <w:ind w:right="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图2-4外挂部署大概示意图</w:t>
      </w:r>
      <w:r>
        <w:rPr>
          <w:rFonts w:hint="eastAsia" w:ascii="宋体" w:hAnsi="宋体" w:eastAsia="宋体" w:cs="宋体"/>
          <w:sz w:val="18"/>
          <w:szCs w:val="18"/>
          <w:lang w:eastAsia="zh-CN"/>
        </w:rPr>
        <w:t>）</w:t>
      </w:r>
    </w:p>
    <w:p w14:paraId="0DA1500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宋体" w:hAnsi="宋体" w:eastAsia="宋体" w:cs="宋体"/>
          <w:b/>
          <w:bCs/>
          <w:kern w:val="0"/>
          <w:sz w:val="24"/>
          <w:szCs w:val="24"/>
          <w:lang w:val="en-US" w:eastAsia="zh-CN" w:bidi="ar"/>
        </w:rPr>
      </w:pPr>
    </w:p>
    <w:p w14:paraId="37B8E075">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21" w:name="_Toc767"/>
      <w:r>
        <w:rPr>
          <w:rFonts w:hint="eastAsia" w:ascii="黑体" w:hAnsi="黑体" w:eastAsia="黑体" w:cs="黑体"/>
          <w:sz w:val="36"/>
          <w:szCs w:val="36"/>
        </w:rPr>
        <w:t>2.6 整体工作流程</w:t>
      </w:r>
      <w:bookmarkEnd w:id="21"/>
    </w:p>
    <w:p w14:paraId="0DD5DF7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系统形成标准化、自动化、闭环式质检流程，全程检测延迟≤100ms，适配产线高速作业节奏，完整流程分为七大环节：</w:t>
      </w:r>
    </w:p>
    <w:p w14:paraId="02181A6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①光电传感器感应钢材到位，触发设备启动检测；</w:t>
      </w:r>
    </w:p>
    <w:p w14:paraId="0D7F11A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②多角度光源分时工作，完成多维度图像采集；</w:t>
      </w:r>
    </w:p>
    <w:p w14:paraId="2EB2461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③对原始图像进行预处理与智能增强，优化图像质量；</w:t>
      </w:r>
    </w:p>
    <w:p w14:paraId="2F3EE15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④改进YOLO算法完成像素级缺陷分割，定位锈蚀、裂纹等缺陷；</w:t>
      </w:r>
    </w:p>
    <w:p w14:paraId="4E4C6AA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⑤系统自动滤除伪缺陷，完成锈蚀等级与裂纹风险判定；</w:t>
      </w:r>
    </w:p>
    <w:p w14:paraId="6B62472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⑥合格工件正常放行，不合格工件触发声光预警；</w:t>
      </w:r>
    </w:p>
    <w:p w14:paraId="0211A44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⑦全量质检数据、图像、报表自动存档，支持多维度追溯分析。</w:t>
      </w:r>
    </w:p>
    <w:p w14:paraId="09C835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jc w:val="center"/>
        <w:textAlignment w:val="auto"/>
      </w:pPr>
      <w:r>
        <w:drawing>
          <wp:inline distT="0" distB="0" distL="114300" distR="114300">
            <wp:extent cx="4408170" cy="2248535"/>
            <wp:effectExtent l="0" t="0" r="11430" b="1206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7"/>
                    <a:stretch>
                      <a:fillRect/>
                    </a:stretch>
                  </pic:blipFill>
                  <pic:spPr>
                    <a:xfrm>
                      <a:off x="0" y="0"/>
                      <a:ext cx="4408170" cy="2248535"/>
                    </a:xfrm>
                    <a:prstGeom prst="rect">
                      <a:avLst/>
                    </a:prstGeom>
                    <a:noFill/>
                    <a:ln>
                      <a:noFill/>
                    </a:ln>
                  </pic:spPr>
                </pic:pic>
              </a:graphicData>
            </a:graphic>
          </wp:inline>
        </w:drawing>
      </w:r>
    </w:p>
    <w:p w14:paraId="47E4F399">
      <w:pPr>
        <w:pStyle w:val="12"/>
        <w:keepNext w:val="0"/>
        <w:keepLines w:val="0"/>
        <w:widowControl/>
        <w:suppressLineNumbers w:val="0"/>
        <w:spacing w:before="0" w:beforeAutospacing="0" w:after="0" w:afterAutospacing="0"/>
        <w:ind w:right="0"/>
        <w:jc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图2-5钢材质检流程示意图</w:t>
      </w:r>
      <w:r>
        <w:rPr>
          <w:rFonts w:hint="eastAsia" w:ascii="宋体" w:hAnsi="宋体" w:eastAsia="宋体" w:cs="宋体"/>
          <w:sz w:val="18"/>
          <w:szCs w:val="18"/>
          <w:lang w:eastAsia="zh-CN"/>
        </w:rPr>
        <w:t>）</w:t>
      </w:r>
    </w:p>
    <w:p w14:paraId="521F23B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宋体" w:hAnsi="宋体" w:eastAsia="宋体" w:cs="宋体"/>
          <w:b/>
          <w:bCs/>
          <w:kern w:val="0"/>
          <w:sz w:val="24"/>
          <w:szCs w:val="24"/>
          <w:lang w:val="en-US" w:eastAsia="zh-CN" w:bidi="ar"/>
        </w:rPr>
      </w:pPr>
    </w:p>
    <w:p w14:paraId="2A3C0A92">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22" w:name="_Toc15683"/>
      <w:r>
        <w:rPr>
          <w:rFonts w:hint="eastAsia" w:ascii="黑体" w:hAnsi="黑体" w:eastAsia="黑体" w:cs="黑体"/>
          <w:sz w:val="36"/>
          <w:szCs w:val="36"/>
        </w:rPr>
        <w:t>2.7 应用前景</w:t>
      </w:r>
      <w:bookmarkEnd w:id="22"/>
    </w:p>
    <w:p w14:paraId="3D1452B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技术迭代升级</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项目持续迭代优化算法模型，扩充麻点、氧化皮等缺陷识别类型，新增AI自学习功能，不断提升检测精度与适配性；硬件端可拓展3D线激光升级模组，适配异形、曲面工件检测，同时推出无线传输版本，进一步提升部署灵活性。</w:t>
      </w:r>
    </w:p>
    <w:p w14:paraId="1A917E9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检测品类拓展</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依托通用化光学成像与AI算法架构，可快速适配铝型材、铜材、不锈钢等多类金属材料外观质检，打破单一钢材质检局限，打造通用型金属工件质检方案。</w:t>
      </w:r>
    </w:p>
    <w:p w14:paraId="30AE72F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应用场景延伸</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在核心来料质检场景基础上，逐步延伸至仓储出入库质量核验、零部件成品全检、第三方验货复盘等场景，全方位覆盖中小制造企业质检数字化需求，市场拓展空间广阔。</w:t>
      </w:r>
    </w:p>
    <w:p w14:paraId="1E1DD19A">
      <w:pPr>
        <w:keepNext w:val="0"/>
        <w:keepLines w:val="0"/>
        <w:widowControl/>
        <w:suppressLineNumbers w:val="0"/>
        <w:spacing w:before="0" w:beforeAutospacing="1" w:after="0" w:afterAutospacing="1"/>
        <w:jc w:val="center"/>
        <w:outlineLvl w:val="9"/>
        <w:rPr>
          <w:rFonts w:hint="eastAsia" w:ascii="黑体" w:hAnsi="黑体" w:eastAsia="黑体" w:cs="黑体"/>
          <w:b/>
          <w:bCs/>
          <w:kern w:val="44"/>
          <w:sz w:val="48"/>
          <w:szCs w:val="48"/>
          <w:lang w:val="en-US" w:eastAsia="zh-CN" w:bidi="ar"/>
        </w:rPr>
      </w:pPr>
    </w:p>
    <w:p w14:paraId="359DE967">
      <w:pPr>
        <w:rPr>
          <w:rFonts w:hint="eastAsia" w:ascii="黑体" w:hAnsi="黑体" w:eastAsia="黑体" w:cs="黑体"/>
        </w:rPr>
      </w:pPr>
    </w:p>
    <w:p w14:paraId="41DE6809">
      <w:pPr>
        <w:rPr>
          <w:rFonts w:hint="eastAsia" w:ascii="黑体" w:hAnsi="黑体" w:eastAsia="黑体" w:cs="黑体"/>
        </w:rPr>
      </w:pPr>
    </w:p>
    <w:p w14:paraId="60B0C1EC">
      <w:pPr>
        <w:rPr>
          <w:rFonts w:hint="eastAsia" w:ascii="黑体" w:hAnsi="黑体" w:eastAsia="黑体" w:cs="黑体"/>
        </w:rPr>
      </w:pPr>
    </w:p>
    <w:p w14:paraId="036088DF">
      <w:pPr>
        <w:rPr>
          <w:rFonts w:hint="eastAsia" w:ascii="黑体" w:hAnsi="黑体" w:eastAsia="黑体" w:cs="黑体"/>
        </w:rPr>
      </w:pPr>
    </w:p>
    <w:p w14:paraId="2C33E694">
      <w:pPr>
        <w:rPr>
          <w:rFonts w:hint="eastAsia" w:ascii="黑体" w:hAnsi="黑体" w:eastAsia="黑体" w:cs="黑体"/>
        </w:rPr>
      </w:pPr>
    </w:p>
    <w:p w14:paraId="33DABF58">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center"/>
        <w:textAlignment w:val="auto"/>
        <w:outlineLvl w:val="0"/>
        <w:rPr>
          <w:rFonts w:hint="eastAsia" w:ascii="黑体" w:hAnsi="黑体" w:eastAsia="黑体" w:cs="黑体"/>
          <w:sz w:val="44"/>
          <w:szCs w:val="44"/>
          <w:lang w:val="en-US" w:eastAsia="zh-CN"/>
        </w:rPr>
      </w:pPr>
      <w:bookmarkStart w:id="23" w:name="_Toc29915"/>
      <w:r>
        <w:rPr>
          <w:rFonts w:hint="eastAsia" w:ascii="黑体" w:hAnsi="黑体" w:eastAsia="黑体" w:cs="黑体"/>
          <w:sz w:val="44"/>
          <w:szCs w:val="44"/>
          <w:lang w:val="en-US" w:eastAsia="zh-CN"/>
        </w:rPr>
        <w:t>第三章 市场分析</w:t>
      </w:r>
      <w:bookmarkEnd w:id="23"/>
    </w:p>
    <w:p w14:paraId="2202AC1C">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sz w:val="36"/>
          <w:szCs w:val="36"/>
        </w:rPr>
      </w:pPr>
      <w:bookmarkStart w:id="24" w:name="_Toc924"/>
      <w:r>
        <w:rPr>
          <w:rFonts w:hint="eastAsia" w:ascii="黑体" w:hAnsi="黑体" w:eastAsia="黑体" w:cs="黑体"/>
          <w:sz w:val="36"/>
          <w:szCs w:val="36"/>
        </w:rPr>
        <w:t>3.1 市场背景</w:t>
      </w:r>
      <w:bookmarkEnd w:id="24"/>
    </w:p>
    <w:p w14:paraId="1C86AE2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ascii="宋体" w:hAnsi="宋体" w:eastAsia="宋体" w:cs="宋体"/>
          <w:kern w:val="0"/>
          <w:sz w:val="24"/>
          <w:szCs w:val="24"/>
          <w:lang w:val="en-US" w:eastAsia="zh-CN" w:bidi="ar"/>
        </w:rPr>
      </w:pPr>
      <w:r>
        <w:rPr>
          <w:rStyle w:val="15"/>
          <w:rFonts w:hint="eastAsia" w:ascii="黑体" w:hAnsi="黑体" w:eastAsia="黑体" w:cs="黑体"/>
          <w:kern w:val="0"/>
          <w:sz w:val="28"/>
          <w:szCs w:val="28"/>
          <w:lang w:val="en-US" w:eastAsia="zh-CN" w:bidi="ar"/>
        </w:rPr>
        <w:t>政策层面</w:t>
      </w:r>
      <w:r>
        <w:rPr>
          <w:rFonts w:hint="eastAsia" w:ascii="黑体" w:hAnsi="黑体" w:eastAsia="黑体" w:cs="黑体"/>
          <w:kern w:val="0"/>
          <w:sz w:val="28"/>
          <w:szCs w:val="28"/>
          <w:lang w:val="en-US" w:eastAsia="zh-CN" w:bidi="ar"/>
        </w:rPr>
        <w:t>：</w:t>
      </w:r>
    </w:p>
    <w:p w14:paraId="4C4BC61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国家持续加码制造业质量升级与中小企业数字化转型，《质量强国建设纲要》《“十四五”智能制造发展规划》两大国家级纲领文件，明确提出普及智能在线检测技术、发展轻量化、模块化智能质检装备，重点推动中小制造企业低成本数字化改造，为本类工业视觉项目提供了顶层政策支撑。</w:t>
      </w:r>
    </w:p>
    <w:p w14:paraId="5B758BCA">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地方配套扶持力度进一步加大，</w:t>
      </w:r>
      <w:r>
        <w:rPr>
          <w:rFonts w:ascii="宋体" w:hAnsi="宋体" w:eastAsia="宋体" w:cs="宋体"/>
          <w:b/>
          <w:bCs/>
          <w:kern w:val="0"/>
          <w:sz w:val="24"/>
          <w:szCs w:val="24"/>
          <w:lang w:val="en-US" w:eastAsia="zh-CN" w:bidi="ar"/>
        </w:rPr>
        <w:t>广西</w:t>
      </w:r>
      <w:r>
        <w:rPr>
          <w:rFonts w:ascii="宋体" w:hAnsi="宋体" w:eastAsia="宋体" w:cs="宋体"/>
          <w:kern w:val="0"/>
          <w:sz w:val="24"/>
          <w:szCs w:val="24"/>
          <w:lang w:val="en-US" w:eastAsia="zh-CN" w:bidi="ar"/>
        </w:rPr>
        <w:t>针对制造业智能化改造项目，按照设备及软件实际投入的20%给予专项财政补助，</w:t>
      </w:r>
      <w:r>
        <w:rPr>
          <w:rFonts w:ascii="宋体" w:hAnsi="宋体" w:eastAsia="宋体" w:cs="宋体"/>
          <w:b/>
          <w:bCs/>
          <w:kern w:val="0"/>
          <w:sz w:val="24"/>
          <w:szCs w:val="24"/>
          <w:lang w:val="en-US" w:eastAsia="zh-CN" w:bidi="ar"/>
        </w:rPr>
        <w:t>柳州市</w:t>
      </w:r>
      <w:r>
        <w:rPr>
          <w:rFonts w:ascii="宋体" w:hAnsi="宋体" w:eastAsia="宋体" w:cs="宋体"/>
          <w:kern w:val="0"/>
          <w:sz w:val="24"/>
          <w:szCs w:val="24"/>
          <w:lang w:val="en-US" w:eastAsia="zh-CN" w:bidi="ar"/>
        </w:rPr>
        <w:t>推出中小企业数字化专项券政策，企业采购智能检测设备可抵扣30%采购费用，多重补贴政策有效降低企业采购成本，极大激活了区域钢材质检智能化升级需求，为项目落地推广营造了优质的政策环境。</w:t>
      </w:r>
    </w:p>
    <w:p w14:paraId="3290FAB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20" w:firstLineChars="200"/>
        <w:jc w:val="center"/>
        <w:textAlignment w:val="auto"/>
      </w:pPr>
      <w:r>
        <w:drawing>
          <wp:inline distT="0" distB="0" distL="114300" distR="114300">
            <wp:extent cx="4173220" cy="2344420"/>
            <wp:effectExtent l="0" t="0" r="5080"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8"/>
                    <a:stretch>
                      <a:fillRect/>
                    </a:stretch>
                  </pic:blipFill>
                  <pic:spPr>
                    <a:xfrm>
                      <a:off x="0" y="0"/>
                      <a:ext cx="4173220" cy="2344420"/>
                    </a:xfrm>
                    <a:prstGeom prst="rect">
                      <a:avLst/>
                    </a:prstGeom>
                    <a:noFill/>
                    <a:ln>
                      <a:noFill/>
                    </a:ln>
                  </pic:spPr>
                </pic:pic>
              </a:graphicData>
            </a:graphic>
          </wp:inline>
        </w:drawing>
      </w:r>
    </w:p>
    <w:p w14:paraId="460CEE8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0" w:firstLineChars="0"/>
        <w:jc w:val="center"/>
        <w:textAlignment w:val="auto"/>
        <w:outlineLvl w:val="9"/>
        <w:rPr>
          <w:rFonts w:hint="eastAsia" w:ascii="宋体" w:hAnsi="宋体" w:eastAsia="宋体" w:cs="宋体"/>
          <w:b w:val="0"/>
          <w:bCs w:val="0"/>
          <w:i w:val="0"/>
          <w:iCs w:val="0"/>
          <w:color w:val="000000"/>
          <w:spacing w:val="0"/>
          <w:w w:val="100"/>
          <w:sz w:val="24"/>
          <w:szCs w:val="24"/>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图3</w:t>
      </w:r>
      <w:r>
        <w:rPr>
          <w:rFonts w:hint="eastAsia" w:ascii="宋体" w:hAnsi="宋体" w:eastAsia="宋体" w:cs="宋体"/>
          <w:b w:val="0"/>
          <w:bCs w:val="0"/>
          <w:i w:val="0"/>
          <w:iCs w:val="0"/>
          <w:color w:val="000000"/>
          <w:spacing w:val="0"/>
          <w:w w:val="100"/>
          <w:sz w:val="18"/>
          <w:szCs w:val="18"/>
          <w:vertAlign w:val="baseline"/>
          <w:lang w:val="en-US" w:eastAsia="zh-CN"/>
        </w:rPr>
        <w:t>-1政策优势示意图</w:t>
      </w:r>
      <w:r>
        <w:rPr>
          <w:rFonts w:hint="eastAsia" w:ascii="宋体" w:hAnsi="宋体" w:eastAsia="宋体" w:cs="宋体"/>
          <w:b w:val="0"/>
          <w:bCs w:val="0"/>
          <w:i w:val="0"/>
          <w:iCs w:val="0"/>
          <w:color w:val="000000"/>
          <w:spacing w:val="0"/>
          <w:w w:val="100"/>
          <w:sz w:val="18"/>
          <w:szCs w:val="18"/>
          <w:vertAlign w:val="baseline"/>
          <w:lang w:eastAsia="zh-CN"/>
        </w:rPr>
        <w:t>）</w:t>
      </w:r>
    </w:p>
    <w:p w14:paraId="3A06038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20" w:firstLineChars="200"/>
        <w:jc w:val="left"/>
        <w:textAlignment w:val="auto"/>
        <w:rPr>
          <w:lang w:val="en-US" w:eastAsia="zh-CN"/>
        </w:rPr>
      </w:pPr>
    </w:p>
    <w:p w14:paraId="4E1D5FB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kern w:val="0"/>
          <w:sz w:val="28"/>
          <w:szCs w:val="28"/>
          <w:lang w:val="en-US" w:eastAsia="zh-CN" w:bidi="ar"/>
        </w:rPr>
      </w:pPr>
      <w:r>
        <w:rPr>
          <w:rStyle w:val="15"/>
          <w:rFonts w:hint="eastAsia" w:ascii="黑体" w:hAnsi="黑体" w:eastAsia="黑体" w:cs="黑体"/>
          <w:kern w:val="0"/>
          <w:sz w:val="28"/>
          <w:szCs w:val="28"/>
          <w:lang w:val="en-US" w:eastAsia="zh-CN" w:bidi="ar"/>
        </w:rPr>
        <w:t>经济层面</w:t>
      </w:r>
      <w:r>
        <w:rPr>
          <w:rFonts w:hint="eastAsia" w:ascii="黑体" w:hAnsi="黑体" w:eastAsia="黑体" w:cs="黑体"/>
          <w:kern w:val="0"/>
          <w:sz w:val="28"/>
          <w:szCs w:val="28"/>
          <w:lang w:val="en-US" w:eastAsia="zh-CN" w:bidi="ar"/>
        </w:rPr>
        <w:t>：</w:t>
      </w:r>
    </w:p>
    <w:p w14:paraId="2C24A39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我国稳居全球最大钢铁生产、消费与加工大国地位，2024年全国粗钢年产量突破10亿吨，上下游钢材加工、贸易、钢结构制造相关企业超10万家，其中中小微企业占比超90%，是工业制造体系中数量最庞大、改造需求最迫切的主体群体。随着下游机械制造、汽车、基建装备等行业质量标准持续升级，钢材来料质检成为生产质控的核心前置环节，智能替代人工的刚需全面释放。</w:t>
      </w:r>
    </w:p>
    <w:p w14:paraId="6D3B798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2024年国内工业AI质检市场规模达230亿元，其中钢材细分质检市场规模接近60亿元，传统高价重型质检方案难以适配中小厂低成本需求，适配中小微企业的轻量化智能质检方案行业增速高达35%，远高于行业平均增速，属于典型的高增长、低渗透蓝海赛道，未来增量空间十分广阔。</w:t>
      </w:r>
    </w:p>
    <w:p w14:paraId="1FF3E49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20" w:firstLineChars="200"/>
        <w:jc w:val="center"/>
        <w:textAlignment w:val="auto"/>
      </w:pPr>
      <w:r>
        <w:drawing>
          <wp:inline distT="0" distB="0" distL="114300" distR="114300">
            <wp:extent cx="5127625" cy="2697480"/>
            <wp:effectExtent l="0" t="0" r="3175"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9"/>
                    <a:stretch>
                      <a:fillRect/>
                    </a:stretch>
                  </pic:blipFill>
                  <pic:spPr>
                    <a:xfrm>
                      <a:off x="0" y="0"/>
                      <a:ext cx="5127625" cy="2697480"/>
                    </a:xfrm>
                    <a:prstGeom prst="rect">
                      <a:avLst/>
                    </a:prstGeom>
                    <a:noFill/>
                    <a:ln>
                      <a:noFill/>
                    </a:ln>
                  </pic:spPr>
                </pic:pic>
              </a:graphicData>
            </a:graphic>
          </wp:inline>
        </w:drawing>
      </w:r>
    </w:p>
    <w:p w14:paraId="26F9374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0" w:firstLineChars="0"/>
        <w:jc w:val="center"/>
        <w:textAlignment w:val="auto"/>
        <w:outlineLvl w:val="9"/>
        <w:rPr>
          <w:rFonts w:hint="eastAsia" w:ascii="宋体" w:hAnsi="宋体" w:eastAsia="宋体" w:cs="宋体"/>
          <w:b w:val="0"/>
          <w:bCs w:val="0"/>
          <w:i w:val="0"/>
          <w:iCs w:val="0"/>
          <w:color w:val="000000"/>
          <w:spacing w:val="0"/>
          <w:w w:val="100"/>
          <w:sz w:val="24"/>
          <w:szCs w:val="24"/>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图3</w:t>
      </w:r>
      <w:r>
        <w:rPr>
          <w:rFonts w:hint="eastAsia" w:ascii="宋体" w:hAnsi="宋体" w:eastAsia="宋体" w:cs="宋体"/>
          <w:b w:val="0"/>
          <w:bCs w:val="0"/>
          <w:i w:val="0"/>
          <w:iCs w:val="0"/>
          <w:color w:val="000000"/>
          <w:spacing w:val="0"/>
          <w:w w:val="100"/>
          <w:sz w:val="18"/>
          <w:szCs w:val="18"/>
          <w:vertAlign w:val="baseline"/>
        </w:rPr>
        <w:noBreakHyphen/>
      </w:r>
      <w:r>
        <w:rPr>
          <w:rFonts w:hint="eastAsia" w:ascii="宋体" w:hAnsi="宋体" w:eastAsia="宋体" w:cs="宋体"/>
          <w:b w:val="0"/>
          <w:bCs w:val="0"/>
          <w:i w:val="0"/>
          <w:iCs w:val="0"/>
          <w:color w:val="000000"/>
          <w:spacing w:val="0"/>
          <w:w w:val="100"/>
          <w:sz w:val="18"/>
          <w:szCs w:val="18"/>
          <w:vertAlign w:val="baseline"/>
          <w:lang w:val="en-US" w:eastAsia="zh-CN"/>
        </w:rPr>
        <w:t>2市场经济优势示意图</w:t>
      </w:r>
      <w:r>
        <w:rPr>
          <w:rFonts w:hint="eastAsia" w:ascii="宋体" w:hAnsi="宋体" w:eastAsia="宋体" w:cs="宋体"/>
          <w:b w:val="0"/>
          <w:bCs w:val="0"/>
          <w:i w:val="0"/>
          <w:iCs w:val="0"/>
          <w:color w:val="000000"/>
          <w:spacing w:val="0"/>
          <w:w w:val="100"/>
          <w:sz w:val="18"/>
          <w:szCs w:val="18"/>
          <w:vertAlign w:val="baseline"/>
          <w:lang w:eastAsia="zh-CN"/>
        </w:rPr>
        <w:t>）</w:t>
      </w:r>
    </w:p>
    <w:p w14:paraId="238ACAE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20" w:firstLineChars="200"/>
        <w:jc w:val="left"/>
        <w:textAlignment w:val="auto"/>
        <w:rPr>
          <w:lang w:val="en-US" w:eastAsia="zh-CN"/>
        </w:rPr>
      </w:pPr>
    </w:p>
    <w:p w14:paraId="6D145DB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kern w:val="0"/>
          <w:sz w:val="28"/>
          <w:szCs w:val="28"/>
          <w:lang w:val="en-US" w:eastAsia="zh-CN" w:bidi="ar"/>
        </w:rPr>
      </w:pPr>
      <w:r>
        <w:rPr>
          <w:rStyle w:val="15"/>
          <w:rFonts w:hint="eastAsia" w:ascii="黑体" w:hAnsi="黑体" w:eastAsia="黑体" w:cs="黑体"/>
          <w:kern w:val="0"/>
          <w:sz w:val="28"/>
          <w:szCs w:val="28"/>
          <w:lang w:val="en-US" w:eastAsia="zh-CN" w:bidi="ar"/>
        </w:rPr>
        <w:t>需求层面</w:t>
      </w:r>
      <w:r>
        <w:rPr>
          <w:rFonts w:hint="eastAsia" w:ascii="黑体" w:hAnsi="黑体" w:eastAsia="黑体" w:cs="黑体"/>
          <w:kern w:val="0"/>
          <w:sz w:val="28"/>
          <w:szCs w:val="28"/>
          <w:lang w:val="en-US" w:eastAsia="zh-CN" w:bidi="ar"/>
        </w:rPr>
        <w:t>：</w:t>
      </w:r>
    </w:p>
    <w:p w14:paraId="154442D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结合中小钢材企业实际生产工况与质控体系，行业核心质检需求已从传统“肉眼粗略筛查”升级为标准化、精准化、数据化的智能管控模式，核心刚需集中覆盖三大维度。</w:t>
      </w:r>
    </w:p>
    <w:p w14:paraId="5902BA9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第一是高精度缺陷检测需求，企业亟需设备精准识别钢材表面早期锈蚀、点状锈斑、端面微裂纹等细微缺陷，从源头杜绝不合格来料流入加工工序；</w:t>
      </w:r>
    </w:p>
    <w:p w14:paraId="0DC9B89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第二是质检标准化需求，彻底摆脱人工经验判定的主观差异，统一质检判定标准，有效规避供需双方质量纠纷，规范企业质控流程；</w:t>
      </w:r>
    </w:p>
    <w:p w14:paraId="2410DA5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第三是质量数据化管理需求，实现全批次质检数据自动留存、缺陷溯源、数据统计分析，支撑供应商评级、生产整改、质量优化，全方位补齐传统人工质检效率低、无数据、不标准的短板。</w:t>
      </w:r>
    </w:p>
    <w:p w14:paraId="37C0D59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宋体" w:hAnsi="宋体" w:eastAsia="宋体" w:cs="宋体"/>
          <w:b/>
          <w:bCs/>
          <w:kern w:val="0"/>
          <w:sz w:val="24"/>
          <w:szCs w:val="24"/>
          <w:lang w:val="en-US" w:eastAsia="zh-CN" w:bidi="ar"/>
        </w:rPr>
      </w:pPr>
    </w:p>
    <w:p w14:paraId="30390C67">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25" w:name="_Toc15535"/>
      <w:r>
        <w:rPr>
          <w:rFonts w:hint="eastAsia" w:ascii="黑体" w:hAnsi="黑体" w:eastAsia="黑体" w:cs="黑体"/>
          <w:sz w:val="36"/>
          <w:szCs w:val="36"/>
        </w:rPr>
        <w:t>3.2 市场痛点</w:t>
      </w:r>
      <w:bookmarkEnd w:id="25"/>
    </w:p>
    <w:p w14:paraId="3BDD13D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当前国内钢材质检行业存在明显的供需错配问题，大型钢企智能化改造基本完成，而数量占比绝对优势的中小微钢材企业长期处于质检数字化盲区，传统质检模式与现有智能设备均无法适配其生产场景，行业核心痛点主要分为三类：</w:t>
      </w:r>
    </w:p>
    <w:p w14:paraId="1C4C702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第一，人工质检综合短板突出，已无法适配现代化生产需求</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目前绝大多数中小钢材企业仍完全依赖人工目视完成来料质检，钢材表面的早期微锈、浅层锈迹、端面微裂纹等微弱缺陷辨识度极低，人工长期目视作业易产生视觉疲劳，整体漏检率高达30%-40%，极易造成残次钢材流入生产环节，引发成品报废。同时，不同质检人员的从业经验、工作状态存在差异，质检判定标准难以统一，极易引发供需双方质量纠纷。此外，质检岗位人工成本逐年攀升，单名专职质检人员年均用工成本高达8-12万元，企业人力负担沉重，且传统纸质记录方式数据零散、易丢失，无法实现批次追溯与质量数据分析，严重制约企业精细化质量管理升级。</w:t>
      </w:r>
    </w:p>
    <w:p w14:paraId="284EF30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rFonts w:ascii="宋体" w:hAnsi="宋体" w:eastAsia="宋体" w:cs="宋体"/>
          <w:kern w:val="0"/>
          <w:sz w:val="24"/>
          <w:szCs w:val="24"/>
          <w:lang w:val="en-US" w:eastAsia="zh-CN" w:bidi="ar"/>
        </w:rPr>
      </w:pPr>
      <w:r>
        <w:rPr>
          <w:rStyle w:val="15"/>
          <w:rFonts w:hint="eastAsia" w:ascii="黑体" w:hAnsi="黑体" w:eastAsia="黑体" w:cs="黑体"/>
          <w:kern w:val="0"/>
          <w:sz w:val="28"/>
          <w:szCs w:val="28"/>
          <w:lang w:val="en-US" w:eastAsia="zh-CN" w:bidi="ar"/>
        </w:rPr>
        <w:t>第二，传统智能质检方案落地门槛高、实用性差</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市面成熟的工业视觉智能质检设备多针对大型钢厂定制研发，单工位部署造价高达5-10万元，设备采购、调试运维成本高昂。同时传统设备部署周期长，需要改造原有生产线结构，适配性极差，无法适配中小企业灵活生产模式。且传统设备均采用单角度固定光源成像方式，在钢材高反光、多污渍的复杂工况下，无法有效区分油污、灰尘、水印与真实锈蚀缺陷，复杂场景误检率居高不下，仍需要大量人工二次复核，并未真正实现减人提效，难以满足中小工厂实际质检需求。</w:t>
      </w:r>
    </w:p>
    <w:p w14:paraId="11C825F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0" w:firstLineChars="0"/>
        <w:jc w:val="center"/>
        <w:textAlignment w:val="auto"/>
        <w:outlineLvl w:val="9"/>
      </w:pPr>
      <w:r>
        <w:drawing>
          <wp:inline distT="0" distB="0" distL="114300" distR="114300">
            <wp:extent cx="3110865" cy="2311400"/>
            <wp:effectExtent l="0" t="0" r="635" b="0"/>
            <wp:docPr id="9"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57"/>
                    <pic:cNvPicPr>
                      <a:picLocks noChangeAspect="1"/>
                    </pic:cNvPicPr>
                  </pic:nvPicPr>
                  <pic:blipFill>
                    <a:blip r:embed="rId20"/>
                    <a:stretch>
                      <a:fillRect/>
                    </a:stretch>
                  </pic:blipFill>
                  <pic:spPr>
                    <a:xfrm>
                      <a:off x="0" y="0"/>
                      <a:ext cx="3110865" cy="2311400"/>
                    </a:xfrm>
                    <a:prstGeom prst="rect">
                      <a:avLst/>
                    </a:prstGeom>
                    <a:noFill/>
                    <a:ln w="9525">
                      <a:noFill/>
                    </a:ln>
                  </pic:spPr>
                </pic:pic>
              </a:graphicData>
            </a:graphic>
          </wp:inline>
        </w:drawing>
      </w:r>
    </w:p>
    <w:p w14:paraId="348B84D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0" w:firstLineChars="0"/>
        <w:jc w:val="center"/>
        <w:textAlignment w:val="auto"/>
        <w:outlineLvl w:val="9"/>
        <w:rPr>
          <w:rFonts w:hint="eastAsia" w:ascii="宋体" w:hAnsi="宋体" w:eastAsia="宋体" w:cs="宋体"/>
          <w:b w:val="0"/>
          <w:bCs w:val="0"/>
          <w:i w:val="0"/>
          <w:iCs w:val="0"/>
          <w:color w:val="000000"/>
          <w:spacing w:val="0"/>
          <w:w w:val="100"/>
          <w:sz w:val="24"/>
          <w:szCs w:val="24"/>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图3</w:t>
      </w:r>
      <w:r>
        <w:rPr>
          <w:rFonts w:hint="eastAsia" w:ascii="宋体" w:hAnsi="宋体" w:eastAsia="宋体" w:cs="宋体"/>
          <w:b w:val="0"/>
          <w:bCs w:val="0"/>
          <w:i w:val="0"/>
          <w:iCs w:val="0"/>
          <w:color w:val="000000"/>
          <w:spacing w:val="0"/>
          <w:w w:val="100"/>
          <w:sz w:val="18"/>
          <w:szCs w:val="18"/>
          <w:vertAlign w:val="baseline"/>
        </w:rPr>
        <w:noBreakHyphen/>
      </w:r>
      <w:r>
        <w:rPr>
          <w:rFonts w:hint="eastAsia" w:ascii="宋体" w:hAnsi="宋体" w:eastAsia="宋体" w:cs="宋体"/>
          <w:b w:val="0"/>
          <w:bCs w:val="0"/>
          <w:i w:val="0"/>
          <w:iCs w:val="0"/>
          <w:color w:val="000000"/>
          <w:spacing w:val="0"/>
          <w:w w:val="100"/>
          <w:sz w:val="18"/>
          <w:szCs w:val="18"/>
          <w:vertAlign w:val="baseline"/>
          <w:lang w:val="en-US" w:eastAsia="zh-CN"/>
        </w:rPr>
        <w:t>3</w:t>
      </w:r>
      <w:r>
        <w:rPr>
          <w:rFonts w:hint="eastAsia" w:ascii="宋体" w:hAnsi="宋体" w:eastAsia="宋体" w:cs="宋体"/>
          <w:b w:val="0"/>
          <w:bCs w:val="0"/>
          <w:i w:val="0"/>
          <w:iCs w:val="0"/>
          <w:color w:val="000000"/>
          <w:spacing w:val="0"/>
          <w:w w:val="100"/>
          <w:sz w:val="18"/>
          <w:szCs w:val="18"/>
          <w:vertAlign w:val="baseline"/>
        </w:rPr>
        <w:t>单角度光源成像 VS 多角度强光成像效果对比图</w:t>
      </w:r>
      <w:r>
        <w:rPr>
          <w:rFonts w:hint="eastAsia" w:ascii="宋体" w:hAnsi="宋体" w:eastAsia="宋体" w:cs="宋体"/>
          <w:b w:val="0"/>
          <w:bCs w:val="0"/>
          <w:i w:val="0"/>
          <w:iCs w:val="0"/>
          <w:color w:val="000000"/>
          <w:spacing w:val="0"/>
          <w:w w:val="100"/>
          <w:sz w:val="18"/>
          <w:szCs w:val="18"/>
          <w:vertAlign w:val="baseline"/>
          <w:lang w:eastAsia="zh-CN"/>
        </w:rPr>
        <w:t>）</w:t>
      </w:r>
    </w:p>
    <w:p w14:paraId="7BEF319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6233044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562" w:firstLineChars="200"/>
        <w:jc w:val="left"/>
        <w:textAlignment w:val="auto"/>
        <w:rPr>
          <w:sz w:val="24"/>
          <w:szCs w:val="24"/>
        </w:rPr>
      </w:pPr>
      <w:r>
        <w:rPr>
          <w:rStyle w:val="15"/>
          <w:rFonts w:hint="eastAsia" w:ascii="黑体" w:hAnsi="黑体" w:eastAsia="黑体" w:cs="黑体"/>
          <w:kern w:val="0"/>
          <w:sz w:val="28"/>
          <w:szCs w:val="28"/>
          <w:lang w:val="en-US" w:eastAsia="zh-CN" w:bidi="ar"/>
        </w:rPr>
        <w:t>第三，中小微钢材企业质检市场长期空白，需求亟待释放</w:t>
      </w:r>
      <w:r>
        <w:rPr>
          <w:rFonts w:hint="eastAsia" w:ascii="黑体" w:hAnsi="黑体" w:eastAsia="黑体" w:cs="黑体"/>
          <w:kern w:val="0"/>
          <w:sz w:val="28"/>
          <w:szCs w:val="28"/>
          <w:lang w:val="en-US" w:eastAsia="zh-CN" w:bidi="ar"/>
        </w:rPr>
        <w:t>：</w:t>
      </w:r>
      <w:r>
        <w:rPr>
          <w:rFonts w:ascii="宋体" w:hAnsi="宋体" w:eastAsia="宋体" w:cs="宋体"/>
          <w:kern w:val="0"/>
          <w:sz w:val="24"/>
          <w:szCs w:val="24"/>
          <w:lang w:val="en-US" w:eastAsia="zh-CN" w:bidi="ar"/>
        </w:rPr>
        <w:t>目前国内中小钢材企业智能质检整体渗透率不足3%，数字化改造严重滞后于大型企业。该类企业普遍利润空间有限、预算投入谨慎，无法承担高价智能设备；同时生产模式以多品类、小批量、灵活切换为主，产线调整频繁，传统固定部署设备适配性差。加之企业缺乏专业自动化、AI技术运维人才，高端设备买不起、复杂设备用不好、传统设备精度低，海量下沉市场的智能化质检需求长期处于未被满足的空白状态，为本项目提供了广阔的市场切入空间。</w:t>
      </w:r>
    </w:p>
    <w:p w14:paraId="3096355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2" w:firstLineChars="200"/>
        <w:jc w:val="left"/>
        <w:textAlignment w:val="auto"/>
        <w:outlineLvl w:val="9"/>
        <w:rPr>
          <w:rFonts w:hint="eastAsia" w:ascii="宋体" w:hAnsi="宋体" w:eastAsia="宋体" w:cs="宋体"/>
          <w:b/>
          <w:bCs/>
          <w:kern w:val="0"/>
          <w:sz w:val="24"/>
          <w:szCs w:val="24"/>
          <w:lang w:val="en-US" w:eastAsia="zh-CN" w:bidi="ar"/>
        </w:rPr>
      </w:pPr>
    </w:p>
    <w:p w14:paraId="65332173">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sz w:val="24"/>
          <w:szCs w:val="24"/>
        </w:rPr>
      </w:pPr>
      <w:bookmarkStart w:id="26" w:name="_Toc4004"/>
      <w:r>
        <w:rPr>
          <w:rFonts w:hint="eastAsia" w:ascii="黑体" w:hAnsi="黑体" w:eastAsia="黑体" w:cs="黑体"/>
          <w:sz w:val="36"/>
          <w:szCs w:val="36"/>
        </w:rPr>
        <w:t>3.3 市场容量与结构</w:t>
      </w:r>
      <w:bookmarkEnd w:id="26"/>
    </w:p>
    <w:p w14:paraId="7B253D4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kern w:val="0"/>
          <w:sz w:val="28"/>
          <w:szCs w:val="28"/>
          <w:lang w:val="en-US" w:eastAsia="zh-CN" w:bidi="ar"/>
        </w:rPr>
      </w:pPr>
      <w:r>
        <w:rPr>
          <w:rStyle w:val="15"/>
          <w:rFonts w:hint="eastAsia" w:ascii="黑体" w:hAnsi="黑体" w:eastAsia="黑体" w:cs="黑体"/>
          <w:kern w:val="0"/>
          <w:sz w:val="28"/>
          <w:szCs w:val="28"/>
          <w:lang w:val="en-US" w:eastAsia="zh-CN" w:bidi="ar"/>
        </w:rPr>
        <w:t>市场容量</w:t>
      </w:r>
      <w:r>
        <w:rPr>
          <w:rFonts w:hint="eastAsia" w:ascii="黑体" w:hAnsi="黑体" w:eastAsia="黑体" w:cs="黑体"/>
          <w:kern w:val="0"/>
          <w:sz w:val="28"/>
          <w:szCs w:val="28"/>
          <w:lang w:val="en-US" w:eastAsia="zh-CN" w:bidi="ar"/>
        </w:rPr>
        <w:t>：</w:t>
      </w:r>
    </w:p>
    <w:p w14:paraId="773EFC5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国内工业AI质检行业持续高速增长，钢材作为工业制造核心原材料，其智能质检赛道发展势头强劲。2024年国内钢材智能质检细分市场规模已接近60亿元，伴随制造业质量管控升级与中小企业数字化普惠政策落地，行业持续稳步增长，预计2030年整体市场规模将突破200亿元，长期增长潜力充足。</w:t>
      </w:r>
    </w:p>
    <w:p w14:paraId="7828B67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当前大型钢铁企业智能化改造趋近饱和，市场增长乏力，而占行业总体55%市场体量的中小微钢材企业仍处于蓝海爆发前期，渗透率极低。按行业主流单工位设备均价测算，国内中小钢材企业潜在设备更新与新增需求超200万套，对应整体市场空间超400亿元，是未来五年工业质检赛道最核心的增量市场。</w:t>
      </w:r>
    </w:p>
    <w:p w14:paraId="7EF2977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ascii="宋体" w:hAnsi="宋体" w:eastAsia="宋体" w:cs="宋体"/>
          <w:kern w:val="0"/>
          <w:sz w:val="24"/>
          <w:szCs w:val="24"/>
          <w:lang w:val="en-US" w:eastAsia="zh-CN" w:bidi="ar"/>
        </w:rPr>
      </w:pPr>
      <w:r>
        <w:rPr>
          <w:rStyle w:val="15"/>
          <w:rFonts w:hint="eastAsia" w:ascii="黑体" w:hAnsi="黑体" w:eastAsia="黑体" w:cs="黑体"/>
          <w:kern w:val="0"/>
          <w:sz w:val="28"/>
          <w:szCs w:val="28"/>
          <w:lang w:val="en-US" w:eastAsia="zh-CN" w:bidi="ar"/>
        </w:rPr>
        <w:t>市场结构</w:t>
      </w:r>
      <w:r>
        <w:rPr>
          <w:rFonts w:hint="eastAsia" w:ascii="黑体" w:hAnsi="黑体" w:eastAsia="黑体" w:cs="黑体"/>
          <w:kern w:val="0"/>
          <w:sz w:val="28"/>
          <w:szCs w:val="28"/>
          <w:lang w:val="en-US" w:eastAsia="zh-CN" w:bidi="ar"/>
        </w:rPr>
        <w:t>：</w:t>
      </w:r>
    </w:p>
    <w:p w14:paraId="71403E3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从产品类型维度划分，当前钢材质检市场呈现分层格局，高端定制化方案占比40%，主打大型钢厂复杂工况，造价高昂、难以下沉；中端标准化方案占比35%，功能固化、精度有限，无法适配复杂现场工况；适配中小厂的轻量化普惠方案仅占25%，但凭借低成本、易部署、高适配的核心优势，行业增速高达35%，是当前增长速度最快的细分赛道。从技术路线维度划分，传统机器视觉方案占比55%，技术成熟但泛化能力弱、增速持续放缓；AI智能视觉方案占比45%，凭借高精度、强抗干扰的优势快速迭代，逐步替代传统方案成为行业主流。</w:t>
      </w:r>
    </w:p>
    <w:p w14:paraId="0730C70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从应用场景维度划分，大型钢厂生产端在线质检场景占比40%，市场趋于饱和；中小加工厂、钢材贸易商的来料质检场景占比60%，市场分散、需求旺盛、竞争薄弱，是本项目核心聚焦的蓝海目标市场。</w:t>
      </w:r>
    </w:p>
    <w:p w14:paraId="27C804B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center"/>
        <w:textAlignment w:val="auto"/>
      </w:pPr>
      <w:r>
        <w:drawing>
          <wp:inline distT="0" distB="0" distL="114300" distR="114300">
            <wp:extent cx="5044440" cy="2833370"/>
            <wp:effectExtent l="0" t="0" r="10160" b="11430"/>
            <wp:docPr id="10"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8"/>
                    <pic:cNvPicPr>
                      <a:picLocks noChangeAspect="1"/>
                    </pic:cNvPicPr>
                  </pic:nvPicPr>
                  <pic:blipFill>
                    <a:blip r:embed="rId21"/>
                    <a:stretch>
                      <a:fillRect/>
                    </a:stretch>
                  </pic:blipFill>
                  <pic:spPr>
                    <a:xfrm>
                      <a:off x="0" y="0"/>
                      <a:ext cx="5044440" cy="2833370"/>
                    </a:xfrm>
                    <a:prstGeom prst="rect">
                      <a:avLst/>
                    </a:prstGeom>
                    <a:noFill/>
                    <a:ln w="9525">
                      <a:noFill/>
                    </a:ln>
                  </pic:spPr>
                </pic:pic>
              </a:graphicData>
            </a:graphic>
          </wp:inline>
        </w:drawing>
      </w:r>
    </w:p>
    <w:p w14:paraId="137A823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480" w:firstLineChars="200"/>
        <w:jc w:val="center"/>
        <w:textAlignment w:val="auto"/>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图3</w:t>
      </w:r>
      <w:r>
        <w:rPr>
          <w:rFonts w:hint="eastAsia" w:ascii="宋体" w:hAnsi="宋体" w:eastAsia="宋体" w:cs="宋体"/>
          <w:b w:val="0"/>
          <w:bCs w:val="0"/>
          <w:i w:val="0"/>
          <w:iCs w:val="0"/>
          <w:color w:val="000000"/>
          <w:spacing w:val="0"/>
          <w:w w:val="100"/>
          <w:sz w:val="18"/>
          <w:szCs w:val="18"/>
          <w:vertAlign w:val="baseline"/>
          <w:lang w:val="en-US" w:eastAsia="zh-CN"/>
        </w:rPr>
        <w:t>-4中国AI质检市场未来发展趋势）</w:t>
      </w:r>
    </w:p>
    <w:p w14:paraId="3F94F3D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291719F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3FBB7E13">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27" w:name="_Toc20905"/>
      <w:r>
        <w:rPr>
          <w:rFonts w:hint="eastAsia" w:ascii="黑体" w:hAnsi="黑体" w:eastAsia="黑体" w:cs="黑体"/>
          <w:sz w:val="36"/>
          <w:szCs w:val="36"/>
        </w:rPr>
        <w:t>3.4 行业竞争分析</w:t>
      </w:r>
      <w:bookmarkEnd w:id="27"/>
    </w:p>
    <w:p w14:paraId="1D05711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kern w:val="0"/>
          <w:sz w:val="28"/>
          <w:szCs w:val="28"/>
          <w:lang w:val="en-US" w:eastAsia="zh-CN" w:bidi="ar"/>
        </w:rPr>
      </w:pPr>
      <w:r>
        <w:rPr>
          <w:rStyle w:val="15"/>
          <w:rFonts w:hint="eastAsia" w:ascii="黑体" w:hAnsi="黑体" w:eastAsia="黑体" w:cs="黑体"/>
          <w:kern w:val="0"/>
          <w:sz w:val="28"/>
          <w:szCs w:val="28"/>
          <w:lang w:val="en-US" w:eastAsia="zh-CN" w:bidi="ar"/>
        </w:rPr>
        <w:t>竞争格局</w:t>
      </w:r>
      <w:r>
        <w:rPr>
          <w:rFonts w:hint="eastAsia" w:ascii="黑体" w:hAnsi="黑体" w:eastAsia="黑体" w:cs="黑体"/>
          <w:kern w:val="0"/>
          <w:sz w:val="28"/>
          <w:szCs w:val="28"/>
          <w:lang w:val="en-US" w:eastAsia="zh-CN" w:bidi="ar"/>
        </w:rPr>
        <w:t>：</w:t>
      </w:r>
    </w:p>
    <w:p w14:paraId="0B79062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目前国内钢材智能质检行业整体竞争格局较为分散，行业尚未形成绝对龙头品牌，市场竞争主要分为三类主体，各有明显短板，暂无适配中小微企业的优质方案。</w:t>
      </w:r>
    </w:p>
    <w:p w14:paraId="7BC4129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一是海康威视、大恒图像等传统头部视觉厂商，品牌影响力强、技术体系成熟，但产品聚焦中高端大型工业场景，主打定制化高价方案，下沉适配性弱，忽视中小厂轻量化需求；</w:t>
      </w:r>
    </w:p>
    <w:p w14:paraId="7A28AA9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二是垂直领域AI创业公司，深耕金属表面检测赛道，算法针对性较强，但整体方案硬件成本高、部署复杂，仅服务大型企业，未布局下沉市场；</w:t>
      </w:r>
    </w:p>
    <w:p w14:paraId="633415A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三是地方小型设备厂商，产品售价低廉，但技术积累薄弱、检测精度差、设备稳定性不足，无法满足工业标准化质检要求。</w:t>
      </w:r>
    </w:p>
    <w:p w14:paraId="4C57235C">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整体而言，适配中小钢材企业的高精度、低成本、快部署专属质检方案存在明显市场空白。</w:t>
      </w:r>
    </w:p>
    <w:p w14:paraId="6699F91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kern w:val="0"/>
          <w:sz w:val="28"/>
          <w:szCs w:val="28"/>
          <w:lang w:val="en-US" w:eastAsia="zh-CN" w:bidi="ar"/>
        </w:rPr>
      </w:pPr>
      <w:r>
        <w:rPr>
          <w:rStyle w:val="15"/>
          <w:rFonts w:hint="eastAsia" w:ascii="黑体" w:hAnsi="黑体" w:eastAsia="黑体" w:cs="黑体"/>
          <w:kern w:val="0"/>
          <w:sz w:val="28"/>
          <w:szCs w:val="28"/>
          <w:lang w:val="en-US" w:eastAsia="zh-CN" w:bidi="ar"/>
        </w:rPr>
        <w:t>核心竞争优势</w:t>
      </w:r>
      <w:r>
        <w:rPr>
          <w:rFonts w:hint="eastAsia" w:ascii="黑体" w:hAnsi="黑体" w:eastAsia="黑体" w:cs="黑体"/>
          <w:kern w:val="0"/>
          <w:sz w:val="28"/>
          <w:szCs w:val="28"/>
          <w:lang w:val="en-US" w:eastAsia="zh-CN" w:bidi="ar"/>
        </w:rPr>
        <w:t>：</w:t>
      </w:r>
    </w:p>
    <w:p w14:paraId="20E847F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本项目精准卡位中小钢材企业蓝海市场，避开红海赛道内卷，从技术、成本、部署、服务四大维度构建差异化核心壁垒，综合竞争力远超同价位竞品。</w:t>
      </w:r>
    </w:p>
    <w:p w14:paraId="17CBC5C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技术层面，依托项目独创的多角度强光辅助成像核心技术，从光学成像源头突破传统检测瓶颈，有效解决钢材高反光、多污渍工况下微弱缺陷难识别、易误检的行业难题，检测精度与抗干扰能力行业领先；</w:t>
      </w:r>
    </w:p>
    <w:p w14:paraId="7ECC9ED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成本层面，通过光学创新降低算力依赖，搭配全国产化硬件选型优化，摒弃高价冗余设备，整套系统落地价格仅为传统智能方案的1/3，大幅降低中小企业智能化升级门槛；</w:t>
      </w:r>
    </w:p>
    <w:p w14:paraId="6CF2E74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部署层面，采用模块化外挂式设计，无需改造原有产线、无需停产调试，2小时即可完成全流程落地，高度适配中小企业柔性化、多批次的生产特点；</w:t>
      </w:r>
    </w:p>
    <w:p w14:paraId="7A25B20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服务层面，依托本地化团队搭建专属服务体系，提供上门安装调试、一对一人员培训、远程极速运维等全周期服务，相较于头部厂商标准化、慢响应的远程服务，更贴合中小企业实际经营诉求，客户粘性更强。</w:t>
      </w:r>
    </w:p>
    <w:p w14:paraId="29DF87D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center"/>
        <w:textAlignment w:val="auto"/>
      </w:pPr>
      <w:r>
        <w:drawing>
          <wp:inline distT="0" distB="0" distL="114300" distR="114300">
            <wp:extent cx="3867150" cy="1955165"/>
            <wp:effectExtent l="0" t="0" r="6350" b="635"/>
            <wp:docPr id="11" name="图片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60"/>
                    <pic:cNvPicPr>
                      <a:picLocks noChangeAspect="1"/>
                    </pic:cNvPicPr>
                  </pic:nvPicPr>
                  <pic:blipFill>
                    <a:blip r:embed="rId22"/>
                    <a:stretch>
                      <a:fillRect/>
                    </a:stretch>
                  </pic:blipFill>
                  <pic:spPr>
                    <a:xfrm>
                      <a:off x="0" y="0"/>
                      <a:ext cx="3867150" cy="1955165"/>
                    </a:xfrm>
                    <a:prstGeom prst="rect">
                      <a:avLst/>
                    </a:prstGeom>
                    <a:noFill/>
                    <a:ln w="9525">
                      <a:noFill/>
                    </a:ln>
                  </pic:spPr>
                </pic:pic>
              </a:graphicData>
            </a:graphic>
          </wp:inline>
        </w:drawing>
      </w:r>
    </w:p>
    <w:p w14:paraId="411E5AE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480" w:firstLineChars="200"/>
        <w:jc w:val="center"/>
        <w:textAlignment w:val="auto"/>
        <w:rPr>
          <w:rFonts w:hint="eastAsia" w:ascii="宋体" w:hAnsi="宋体" w:eastAsia="宋体" w:cs="宋体"/>
          <w:b w:val="0"/>
          <w:bCs w:val="0"/>
          <w:i w:val="0"/>
          <w:iCs w:val="0"/>
          <w:color w:val="000000"/>
          <w:spacing w:val="0"/>
          <w:w w:val="100"/>
          <w:sz w:val="18"/>
          <w:szCs w:val="18"/>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图3</w:t>
      </w:r>
      <w:r>
        <w:rPr>
          <w:rFonts w:hint="eastAsia" w:ascii="宋体" w:hAnsi="宋体" w:eastAsia="宋体" w:cs="宋体"/>
          <w:b w:val="0"/>
          <w:bCs w:val="0"/>
          <w:i w:val="0"/>
          <w:iCs w:val="0"/>
          <w:color w:val="000000"/>
          <w:spacing w:val="0"/>
          <w:w w:val="100"/>
          <w:sz w:val="18"/>
          <w:szCs w:val="18"/>
          <w:vertAlign w:val="baseline"/>
          <w:lang w:val="en-US" w:eastAsia="zh-CN"/>
        </w:rPr>
        <w:t>-5项目优势示意图</w:t>
      </w:r>
      <w:r>
        <w:rPr>
          <w:rFonts w:hint="eastAsia" w:ascii="宋体" w:hAnsi="宋体" w:eastAsia="宋体" w:cs="宋体"/>
          <w:b w:val="0"/>
          <w:bCs w:val="0"/>
          <w:i w:val="0"/>
          <w:iCs w:val="0"/>
          <w:color w:val="000000"/>
          <w:spacing w:val="0"/>
          <w:w w:val="100"/>
          <w:sz w:val="18"/>
          <w:szCs w:val="18"/>
          <w:vertAlign w:val="baseline"/>
          <w:lang w:eastAsia="zh-CN"/>
        </w:rPr>
        <w:t>）</w:t>
      </w:r>
    </w:p>
    <w:p w14:paraId="472D66E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9"/>
        <w:rPr>
          <w:rFonts w:hint="eastAsia" w:ascii="宋体" w:hAnsi="宋体" w:eastAsia="宋体" w:cs="宋体"/>
          <w:b/>
          <w:bCs/>
          <w:kern w:val="0"/>
          <w:sz w:val="24"/>
          <w:szCs w:val="24"/>
          <w:lang w:val="en-US" w:eastAsia="zh-CN" w:bidi="ar"/>
        </w:rPr>
      </w:pPr>
    </w:p>
    <w:p w14:paraId="4F04F7AF">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outlineLvl w:val="0"/>
        <w:rPr>
          <w:rFonts w:hint="eastAsia" w:ascii="黑体" w:hAnsi="黑体" w:eastAsia="黑体" w:cs="黑体"/>
          <w:sz w:val="36"/>
          <w:szCs w:val="36"/>
        </w:rPr>
      </w:pPr>
      <w:bookmarkStart w:id="28" w:name="_Toc31390"/>
      <w:r>
        <w:rPr>
          <w:rFonts w:hint="eastAsia" w:ascii="黑体" w:hAnsi="黑体" w:eastAsia="黑体" w:cs="黑体"/>
          <w:sz w:val="36"/>
          <w:szCs w:val="36"/>
        </w:rPr>
        <w:t>3.5 战略目标</w:t>
      </w:r>
      <w:bookmarkEnd w:id="28"/>
    </w:p>
    <w:p w14:paraId="2E8E849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ascii="宋体" w:hAnsi="宋体" w:eastAsia="宋体" w:cs="宋体"/>
          <w:kern w:val="0"/>
          <w:sz w:val="24"/>
          <w:szCs w:val="24"/>
          <w:lang w:val="en-US" w:eastAsia="zh-CN" w:bidi="ar"/>
        </w:rPr>
      </w:pPr>
      <w:r>
        <w:rPr>
          <w:rStyle w:val="15"/>
          <w:rFonts w:hint="eastAsia" w:ascii="黑体" w:hAnsi="黑体" w:eastAsia="黑体" w:cs="黑体"/>
          <w:kern w:val="0"/>
          <w:sz w:val="28"/>
          <w:szCs w:val="28"/>
          <w:lang w:val="en-US" w:eastAsia="zh-CN" w:bidi="ar"/>
        </w:rPr>
        <w:t>短期目标（1-2年）</w:t>
      </w:r>
      <w:r>
        <w:rPr>
          <w:rFonts w:hint="eastAsia" w:ascii="黑体" w:hAnsi="黑体" w:eastAsia="黑体" w:cs="黑体"/>
          <w:kern w:val="0"/>
          <w:sz w:val="28"/>
          <w:szCs w:val="28"/>
          <w:lang w:val="en-US" w:eastAsia="zh-CN" w:bidi="ar"/>
        </w:rPr>
        <w:t>：</w:t>
      </w:r>
    </w:p>
    <w:p w14:paraId="33F36D1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技术层面，完成整套产品标准化定型与多轮工况迭代，持续优化多角度强光成像参数与轻量化AI算法模型，稳定实现钢材锈蚀识别准确率≥95%、复杂工况误检率≤4%，全面适配板材、型材等主流钢材品类，产出可批量交付的成熟产品；</w:t>
      </w:r>
    </w:p>
    <w:p w14:paraId="1C3181D8">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市场层面，深耕广西本地钢材产业集群，落地3-5家标杆合作企业，打造可复制、可推广的行业落地案例，完成商业化模式验证，实现年度营收60万元；</w:t>
      </w:r>
    </w:p>
    <w:p w14:paraId="1B99193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团队层面，搭建完善的研发、市场、交付、售后全流程业务体系，完善标准化项目交付流程，夯实项目商业化落地基础。</w:t>
      </w:r>
    </w:p>
    <w:p w14:paraId="237612F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center"/>
        <w:textAlignment w:val="auto"/>
      </w:pPr>
      <w:r>
        <w:drawing>
          <wp:inline distT="0" distB="0" distL="114300" distR="114300">
            <wp:extent cx="3649345" cy="2168525"/>
            <wp:effectExtent l="0" t="0" r="8255" b="3175"/>
            <wp:docPr id="12" name="图片 1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62"/>
                    <pic:cNvPicPr>
                      <a:picLocks noChangeAspect="1"/>
                    </pic:cNvPicPr>
                  </pic:nvPicPr>
                  <pic:blipFill>
                    <a:blip r:embed="rId23"/>
                    <a:stretch>
                      <a:fillRect/>
                    </a:stretch>
                  </pic:blipFill>
                  <pic:spPr>
                    <a:xfrm>
                      <a:off x="0" y="0"/>
                      <a:ext cx="3649345" cy="2168525"/>
                    </a:xfrm>
                    <a:prstGeom prst="rect">
                      <a:avLst/>
                    </a:prstGeom>
                    <a:noFill/>
                    <a:ln w="9525">
                      <a:noFill/>
                    </a:ln>
                  </pic:spPr>
                </pic:pic>
              </a:graphicData>
            </a:graphic>
          </wp:inline>
        </w:drawing>
      </w:r>
    </w:p>
    <w:p w14:paraId="6DBE9C6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480" w:firstLineChars="200"/>
        <w:jc w:val="center"/>
        <w:textAlignment w:val="auto"/>
        <w:rPr>
          <w:rFonts w:hint="eastAsia" w:ascii="宋体" w:hAnsi="宋体" w:eastAsia="宋体" w:cs="宋体"/>
          <w:b w:val="0"/>
          <w:bCs w:val="0"/>
          <w:i w:val="0"/>
          <w:iCs w:val="0"/>
          <w:color w:val="000000"/>
          <w:spacing w:val="0"/>
          <w:w w:val="100"/>
          <w:sz w:val="18"/>
          <w:szCs w:val="18"/>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w:t>
      </w:r>
      <w:r>
        <w:rPr>
          <w:rFonts w:hint="eastAsia" w:ascii="宋体" w:hAnsi="宋体" w:eastAsia="宋体" w:cs="宋体"/>
          <w:b w:val="0"/>
          <w:bCs w:val="0"/>
          <w:i w:val="0"/>
          <w:iCs w:val="0"/>
          <w:color w:val="000000"/>
          <w:spacing w:val="0"/>
          <w:w w:val="100"/>
          <w:sz w:val="18"/>
          <w:szCs w:val="18"/>
          <w:vertAlign w:val="baseline"/>
          <w:lang w:val="en-US" w:eastAsia="zh-CN"/>
        </w:rPr>
        <w:t>3-6短期目标折线示意图</w:t>
      </w:r>
      <w:r>
        <w:rPr>
          <w:rFonts w:hint="eastAsia" w:ascii="宋体" w:hAnsi="宋体" w:eastAsia="宋体" w:cs="宋体"/>
          <w:b w:val="0"/>
          <w:bCs w:val="0"/>
          <w:i w:val="0"/>
          <w:iCs w:val="0"/>
          <w:color w:val="000000"/>
          <w:spacing w:val="0"/>
          <w:w w:val="100"/>
          <w:sz w:val="18"/>
          <w:szCs w:val="18"/>
          <w:vertAlign w:val="baseline"/>
          <w:lang w:eastAsia="zh-CN"/>
        </w:rPr>
        <w:t>）</w:t>
      </w:r>
    </w:p>
    <w:p w14:paraId="1F54E5F2">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704EED5B">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kern w:val="0"/>
          <w:sz w:val="28"/>
          <w:szCs w:val="28"/>
          <w:lang w:val="en-US" w:eastAsia="zh-CN" w:bidi="ar"/>
        </w:rPr>
      </w:pPr>
      <w:r>
        <w:rPr>
          <w:rStyle w:val="15"/>
          <w:rFonts w:hint="eastAsia" w:ascii="黑体" w:hAnsi="黑体" w:eastAsia="黑体" w:cs="黑体"/>
          <w:kern w:val="0"/>
          <w:sz w:val="28"/>
          <w:szCs w:val="28"/>
          <w:lang w:val="en-US" w:eastAsia="zh-CN" w:bidi="ar"/>
        </w:rPr>
        <w:t>中期目标（3-4年）</w:t>
      </w:r>
      <w:r>
        <w:rPr>
          <w:rFonts w:hint="eastAsia" w:ascii="黑体" w:hAnsi="黑体" w:eastAsia="黑体" w:cs="黑体"/>
          <w:kern w:val="0"/>
          <w:sz w:val="28"/>
          <w:szCs w:val="28"/>
          <w:lang w:val="en-US" w:eastAsia="zh-CN" w:bidi="ar"/>
        </w:rPr>
        <w:t>：</w:t>
      </w:r>
    </w:p>
    <w:p w14:paraId="2E8144F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技术层面，完成多品类钢材、多类型缺陷场景适配，持续迭代算法模型与硬件模组，形成覆盖全品类钢材质检的标准化产品矩阵，提升产品通用性与稳定性；</w:t>
      </w:r>
    </w:p>
    <w:p w14:paraId="0D77FA8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市场层面，完善两广地区渠道布局，搭建“直销+经销”立体化销售网络，累计落地合作客户超200家，实现区域细分市场占有率突破5%，打造区域知名轻量化智能质检品牌；</w:t>
      </w:r>
    </w:p>
    <w:p w14:paraId="7939951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团队层面，完成核心团队人员扩充与专业化体系升级，建立标准化产品迭代、市场推广、客户服务机制，实现项目规模化商业落地与稳定盈利。</w:t>
      </w:r>
    </w:p>
    <w:p w14:paraId="3F4FA28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center"/>
        <w:textAlignment w:val="auto"/>
      </w:pPr>
      <w:r>
        <w:drawing>
          <wp:inline distT="0" distB="0" distL="114300" distR="114300">
            <wp:extent cx="3846195" cy="2295525"/>
            <wp:effectExtent l="0" t="0" r="1905" b="3175"/>
            <wp:docPr id="13" name="图片 1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descr="IMG_263"/>
                    <pic:cNvPicPr>
                      <a:picLocks noChangeAspect="1"/>
                    </pic:cNvPicPr>
                  </pic:nvPicPr>
                  <pic:blipFill>
                    <a:blip r:embed="rId24"/>
                    <a:stretch>
                      <a:fillRect/>
                    </a:stretch>
                  </pic:blipFill>
                  <pic:spPr>
                    <a:xfrm>
                      <a:off x="0" y="0"/>
                      <a:ext cx="3846195" cy="2295525"/>
                    </a:xfrm>
                    <a:prstGeom prst="rect">
                      <a:avLst/>
                    </a:prstGeom>
                    <a:noFill/>
                    <a:ln w="9525">
                      <a:noFill/>
                    </a:ln>
                  </pic:spPr>
                </pic:pic>
              </a:graphicData>
            </a:graphic>
          </wp:inline>
        </w:drawing>
      </w:r>
    </w:p>
    <w:p w14:paraId="64BFC17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480" w:firstLineChars="200"/>
        <w:jc w:val="center"/>
        <w:textAlignment w:val="auto"/>
        <w:rPr>
          <w:rFonts w:ascii="宋体" w:hAnsi="宋体" w:eastAsia="宋体" w:cs="宋体"/>
          <w:kern w:val="0"/>
          <w:sz w:val="24"/>
          <w:szCs w:val="24"/>
          <w:lang w:val="en-US" w:eastAsia="zh-CN" w:bidi="ar"/>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w:t>
      </w:r>
      <w:r>
        <w:rPr>
          <w:rFonts w:hint="eastAsia" w:ascii="宋体" w:hAnsi="宋体" w:eastAsia="宋体" w:cs="宋体"/>
          <w:b w:val="0"/>
          <w:bCs w:val="0"/>
          <w:i w:val="0"/>
          <w:iCs w:val="0"/>
          <w:color w:val="000000"/>
          <w:spacing w:val="0"/>
          <w:w w:val="100"/>
          <w:sz w:val="18"/>
          <w:szCs w:val="18"/>
          <w:vertAlign w:val="baseline"/>
          <w:lang w:val="en-US" w:eastAsia="zh-CN"/>
        </w:rPr>
        <w:t>3-7中期目标折线示意图</w:t>
      </w:r>
      <w:r>
        <w:rPr>
          <w:rFonts w:hint="eastAsia" w:ascii="宋体" w:hAnsi="宋体" w:eastAsia="宋体" w:cs="宋体"/>
          <w:b w:val="0"/>
          <w:bCs w:val="0"/>
          <w:i w:val="0"/>
          <w:iCs w:val="0"/>
          <w:color w:val="000000"/>
          <w:spacing w:val="0"/>
          <w:w w:val="100"/>
          <w:sz w:val="18"/>
          <w:szCs w:val="18"/>
          <w:vertAlign w:val="baseline"/>
          <w:lang w:eastAsia="zh-CN"/>
        </w:rPr>
        <w:t>）</w:t>
      </w:r>
    </w:p>
    <w:p w14:paraId="18A1EF8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jc w:val="left"/>
        <w:textAlignment w:val="auto"/>
        <w:rPr>
          <w:rFonts w:hint="eastAsia" w:ascii="黑体" w:hAnsi="黑体" w:eastAsia="黑体" w:cs="黑体"/>
          <w:kern w:val="0"/>
          <w:sz w:val="28"/>
          <w:szCs w:val="28"/>
          <w:lang w:val="en-US" w:eastAsia="zh-CN" w:bidi="ar"/>
        </w:rPr>
      </w:pPr>
      <w:r>
        <w:rPr>
          <w:rStyle w:val="15"/>
          <w:rFonts w:hint="eastAsia" w:ascii="黑体" w:hAnsi="黑体" w:eastAsia="黑体" w:cs="黑体"/>
          <w:kern w:val="0"/>
          <w:sz w:val="28"/>
          <w:szCs w:val="28"/>
          <w:lang w:val="en-US" w:eastAsia="zh-CN" w:bidi="ar"/>
        </w:rPr>
        <w:t>长期目标（5年及以上）</w:t>
      </w:r>
      <w:r>
        <w:rPr>
          <w:rFonts w:hint="eastAsia" w:ascii="黑体" w:hAnsi="黑体" w:eastAsia="黑体" w:cs="黑体"/>
          <w:kern w:val="0"/>
          <w:sz w:val="28"/>
          <w:szCs w:val="28"/>
          <w:lang w:val="en-US" w:eastAsia="zh-CN" w:bidi="ar"/>
        </w:rPr>
        <w:t>：</w:t>
      </w:r>
    </w:p>
    <w:p w14:paraId="286ECFE5">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技术层面，迭代升级通用型金属质检AI大模型与多光谱成像技术，实现钢、铝、铜、不锈钢等多金属材料、20类以上表面缺陷全覆盖，积累多项核心发明专利，构建坚实技术壁垒，参与行业质检标准制定；</w:t>
      </w:r>
    </w:p>
    <w:p w14:paraId="61C8C1A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市场层面，深耕国内中小金属加工市场，同时开拓东南亚海外新兴制造业市场，形成“国内深耕+海外拓展”的双线格局，实现年营收突破千万级，成为国内轻量化工业质检赛道标杆品牌；</w:t>
      </w:r>
    </w:p>
    <w:p w14:paraId="18951DC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团队层面，组建百人专业化团队，搭建省级智能质检研发中心，持续提升行业技术话语权与品牌影响力。</w:t>
      </w:r>
    </w:p>
    <w:p w14:paraId="3DFB04E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center"/>
        <w:textAlignment w:val="auto"/>
      </w:pPr>
      <w:r>
        <w:drawing>
          <wp:inline distT="0" distB="0" distL="114300" distR="114300">
            <wp:extent cx="4278630" cy="2430780"/>
            <wp:effectExtent l="0" t="0" r="1270" b="7620"/>
            <wp:docPr id="14" name="图片 1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descr="IMG_264"/>
                    <pic:cNvPicPr>
                      <a:picLocks noChangeAspect="1"/>
                    </pic:cNvPicPr>
                  </pic:nvPicPr>
                  <pic:blipFill>
                    <a:blip r:embed="rId25"/>
                    <a:stretch>
                      <a:fillRect/>
                    </a:stretch>
                  </pic:blipFill>
                  <pic:spPr>
                    <a:xfrm>
                      <a:off x="0" y="0"/>
                      <a:ext cx="4278630" cy="2430780"/>
                    </a:xfrm>
                    <a:prstGeom prst="rect">
                      <a:avLst/>
                    </a:prstGeom>
                    <a:noFill/>
                    <a:ln w="9525">
                      <a:noFill/>
                    </a:ln>
                  </pic:spPr>
                </pic:pic>
              </a:graphicData>
            </a:graphic>
          </wp:inline>
        </w:drawing>
      </w:r>
    </w:p>
    <w:p w14:paraId="7219140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480" w:firstLineChars="200"/>
        <w:jc w:val="center"/>
        <w:textAlignment w:val="auto"/>
        <w:rPr>
          <w:rFonts w:hint="eastAsia" w:ascii="宋体" w:hAnsi="宋体" w:eastAsia="宋体" w:cs="宋体"/>
          <w:b w:val="0"/>
          <w:bCs w:val="0"/>
          <w:i w:val="0"/>
          <w:iCs w:val="0"/>
          <w:color w:val="000000"/>
          <w:spacing w:val="0"/>
          <w:w w:val="100"/>
          <w:sz w:val="18"/>
          <w:szCs w:val="18"/>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w:t>
      </w:r>
      <w:r>
        <w:rPr>
          <w:rFonts w:hint="eastAsia" w:ascii="宋体" w:hAnsi="宋体" w:eastAsia="宋体" w:cs="宋体"/>
          <w:b w:val="0"/>
          <w:bCs w:val="0"/>
          <w:i w:val="0"/>
          <w:iCs w:val="0"/>
          <w:color w:val="000000"/>
          <w:spacing w:val="0"/>
          <w:w w:val="100"/>
          <w:sz w:val="18"/>
          <w:szCs w:val="18"/>
          <w:vertAlign w:val="baseline"/>
          <w:lang w:val="en-US" w:eastAsia="zh-CN"/>
        </w:rPr>
        <w:t>3-8长期目标折线示意图</w:t>
      </w:r>
      <w:r>
        <w:rPr>
          <w:rFonts w:hint="eastAsia" w:ascii="宋体" w:hAnsi="宋体" w:eastAsia="宋体" w:cs="宋体"/>
          <w:b w:val="0"/>
          <w:bCs w:val="0"/>
          <w:i w:val="0"/>
          <w:iCs w:val="0"/>
          <w:color w:val="000000"/>
          <w:spacing w:val="0"/>
          <w:w w:val="100"/>
          <w:sz w:val="18"/>
          <w:szCs w:val="18"/>
          <w:vertAlign w:val="baseline"/>
          <w:lang w:eastAsia="zh-CN"/>
        </w:rPr>
        <w:t>）</w:t>
      </w:r>
    </w:p>
    <w:p w14:paraId="624B7F6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left"/>
        <w:textAlignment w:val="auto"/>
        <w:rPr>
          <w:rFonts w:ascii="宋体" w:hAnsi="宋体" w:eastAsia="宋体" w:cs="宋体"/>
          <w:kern w:val="0"/>
          <w:sz w:val="24"/>
          <w:szCs w:val="24"/>
          <w:lang w:val="en-US" w:eastAsia="zh-CN" w:bidi="ar"/>
        </w:rPr>
      </w:pPr>
    </w:p>
    <w:p w14:paraId="31288244">
      <w:pPr>
        <w:keepNext w:val="0"/>
        <w:keepLines w:val="0"/>
        <w:pageBreakBefore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ascii="宋体" w:hAnsi="宋体" w:eastAsia="宋体" w:cs="宋体"/>
          <w:sz w:val="24"/>
          <w:szCs w:val="24"/>
        </w:rPr>
      </w:pPr>
    </w:p>
    <w:p w14:paraId="00CCAFE1">
      <w:pPr>
        <w:rPr>
          <w:rFonts w:hint="eastAsia" w:ascii="黑体" w:hAnsi="黑体" w:eastAsia="黑体" w:cs="黑体"/>
        </w:rPr>
      </w:pPr>
    </w:p>
    <w:p w14:paraId="221F8D39">
      <w:pPr>
        <w:rPr>
          <w:rFonts w:hint="eastAsia" w:ascii="黑体" w:hAnsi="黑体" w:eastAsia="黑体" w:cs="黑体"/>
        </w:rPr>
      </w:pPr>
    </w:p>
    <w:p w14:paraId="03B0AA28">
      <w:pPr>
        <w:rPr>
          <w:rFonts w:hint="eastAsia" w:ascii="黑体" w:hAnsi="黑体" w:eastAsia="黑体" w:cs="黑体"/>
        </w:rPr>
      </w:pPr>
    </w:p>
    <w:p w14:paraId="539B5B76">
      <w:pPr>
        <w:rPr>
          <w:rFonts w:hint="eastAsia" w:ascii="黑体" w:hAnsi="黑体" w:eastAsia="黑体" w:cs="黑体"/>
        </w:rPr>
      </w:pPr>
    </w:p>
    <w:p w14:paraId="761EB395">
      <w:pPr>
        <w:rPr>
          <w:rFonts w:hint="eastAsia" w:ascii="黑体" w:hAnsi="黑体" w:eastAsia="黑体" w:cs="黑体"/>
        </w:rPr>
      </w:pPr>
    </w:p>
    <w:p w14:paraId="3FA3960A">
      <w:pPr>
        <w:rPr>
          <w:rFonts w:hint="eastAsia" w:ascii="黑体" w:hAnsi="黑体" w:eastAsia="黑体" w:cs="黑体"/>
        </w:rPr>
      </w:pPr>
    </w:p>
    <w:p w14:paraId="24A52B13">
      <w:pPr>
        <w:rPr>
          <w:rFonts w:hint="eastAsia" w:ascii="黑体" w:hAnsi="黑体" w:eastAsia="黑体" w:cs="黑体"/>
        </w:rPr>
      </w:pPr>
    </w:p>
    <w:p w14:paraId="20536644">
      <w:pPr>
        <w:rPr>
          <w:rFonts w:hint="eastAsia" w:ascii="黑体" w:hAnsi="黑体" w:eastAsia="黑体" w:cs="黑体"/>
        </w:rPr>
      </w:pPr>
    </w:p>
    <w:p w14:paraId="2F254458">
      <w:pPr>
        <w:rPr>
          <w:rFonts w:hint="eastAsia" w:ascii="黑体" w:hAnsi="黑体" w:eastAsia="黑体" w:cs="黑体"/>
        </w:rPr>
      </w:pPr>
    </w:p>
    <w:bookmarkEnd w:id="15"/>
    <w:p w14:paraId="17CBF581">
      <w:pPr>
        <w:pStyle w:val="12"/>
        <w:keepNext w:val="0"/>
        <w:keepLines w:val="0"/>
        <w:widowControl/>
        <w:suppressLineNumbers w:val="0"/>
        <w:spacing w:before="0" w:beforeAutospacing="0" w:after="0" w:afterAutospacing="0" w:line="15" w:lineRule="atLeast"/>
        <w:ind w:left="0" w:leftChars="0" w:right="0" w:rightChars="0"/>
        <w:jc w:val="center"/>
        <w:outlineLvl w:val="0"/>
      </w:pPr>
      <w:bookmarkStart w:id="29" w:name="_Toc5027"/>
      <w:bookmarkStart w:id="30" w:name="_Toc7203"/>
      <w:r>
        <w:rPr>
          <w:rFonts w:hint="eastAsia" w:ascii="黑体" w:hAnsi="黑体" w:eastAsia="黑体" w:cs="黑体"/>
          <w:b/>
          <w:bCs/>
          <w:i w:val="0"/>
          <w:iCs w:val="0"/>
          <w:color w:val="000000"/>
          <w:spacing w:val="0"/>
          <w:w w:val="100"/>
          <w:sz w:val="44"/>
          <w:szCs w:val="44"/>
          <w:vertAlign w:val="baseline"/>
        </w:rPr>
        <w:t>第四章 商业模式</w:t>
      </w:r>
      <w:bookmarkEnd w:id="29"/>
      <w:bookmarkEnd w:id="30"/>
    </w:p>
    <w:p w14:paraId="1A659684">
      <w:pPr>
        <w:pStyle w:val="12"/>
        <w:keepNext w:val="0"/>
        <w:keepLines w:val="0"/>
        <w:widowControl/>
        <w:suppressLineNumbers w:val="0"/>
        <w:spacing w:before="0" w:beforeAutospacing="0" w:after="0" w:afterAutospacing="0" w:line="15" w:lineRule="atLeast"/>
        <w:ind w:left="0" w:leftChars="0" w:right="0" w:rightChars="0"/>
        <w:jc w:val="left"/>
        <w:outlineLvl w:val="0"/>
        <w:rPr>
          <w:rFonts w:hint="eastAsia" w:ascii="黑体" w:hAnsi="黑体" w:eastAsia="黑体" w:cs="黑体"/>
        </w:rPr>
      </w:pPr>
      <w:bookmarkStart w:id="31" w:name="_Toc10773"/>
      <w:bookmarkStart w:id="32" w:name="_Toc11796"/>
      <w:r>
        <w:rPr>
          <w:rFonts w:hint="eastAsia" w:ascii="黑体" w:hAnsi="黑体" w:eastAsia="黑体" w:cs="黑体"/>
          <w:b/>
          <w:bCs/>
          <w:i w:val="0"/>
          <w:iCs w:val="0"/>
          <w:color w:val="000000"/>
          <w:spacing w:val="0"/>
          <w:w w:val="100"/>
          <w:sz w:val="36"/>
          <w:szCs w:val="36"/>
          <w:vertAlign w:val="baseline"/>
        </w:rPr>
        <w:t>4.1 项目商业模式</w:t>
      </w:r>
      <w:bookmarkEnd w:id="31"/>
      <w:bookmarkEnd w:id="32"/>
    </w:p>
    <w:p w14:paraId="784366B6">
      <w:pPr>
        <w:pStyle w:val="12"/>
        <w:keepNext w:val="0"/>
        <w:keepLines w:val="0"/>
        <w:widowControl/>
        <w:suppressLineNumbers w:val="0"/>
        <w:spacing w:before="0" w:beforeAutospacing="0" w:after="0" w:afterAutospacing="0" w:line="15" w:lineRule="atLeast"/>
        <w:ind w:left="0" w:leftChars="0" w:right="0" w:rightChars="0"/>
        <w:jc w:val="left"/>
        <w:outlineLvl w:val="1"/>
        <w:rPr>
          <w:rFonts w:hint="eastAsia" w:ascii="黑体" w:hAnsi="黑体" w:eastAsia="黑体" w:cs="黑体"/>
          <w:sz w:val="32"/>
          <w:szCs w:val="32"/>
        </w:rPr>
      </w:pPr>
      <w:bookmarkStart w:id="33" w:name="_Toc10927"/>
      <w:bookmarkStart w:id="34" w:name="_Toc32661"/>
      <w:r>
        <w:rPr>
          <w:rFonts w:hint="eastAsia" w:ascii="黑体" w:hAnsi="黑体" w:eastAsia="黑体" w:cs="黑体"/>
          <w:b/>
          <w:bCs/>
          <w:i w:val="0"/>
          <w:iCs w:val="0"/>
          <w:color w:val="000000"/>
          <w:spacing w:val="0"/>
          <w:w w:val="100"/>
          <w:sz w:val="32"/>
          <w:szCs w:val="32"/>
          <w:vertAlign w:val="baseline"/>
        </w:rPr>
        <w:t>4.1.1 商业模式概述</w:t>
      </w:r>
      <w:bookmarkEnd w:id="33"/>
      <w:bookmarkEnd w:id="34"/>
    </w:p>
    <w:p w14:paraId="395E688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本项目采用“</w:t>
      </w:r>
      <w:r>
        <w:rPr>
          <w:rFonts w:hint="eastAsia" w:ascii="宋体" w:hAnsi="宋体" w:eastAsia="宋体" w:cs="宋体"/>
          <w:b/>
          <w:bCs/>
          <w:i w:val="0"/>
          <w:iCs w:val="0"/>
          <w:color w:val="000000"/>
          <w:spacing w:val="0"/>
          <w:w w:val="100"/>
          <w:sz w:val="24"/>
          <w:szCs w:val="24"/>
          <w:vertAlign w:val="baseline"/>
        </w:rPr>
        <w:t>硬件销售+软件授权+增值服务+设备租赁</w:t>
      </w:r>
      <w:r>
        <w:rPr>
          <w:rFonts w:hint="eastAsia" w:ascii="宋体" w:hAnsi="宋体" w:eastAsia="宋体" w:cs="宋体"/>
          <w:b w:val="0"/>
          <w:bCs w:val="0"/>
          <w:i w:val="0"/>
          <w:iCs w:val="0"/>
          <w:color w:val="000000"/>
          <w:spacing w:val="0"/>
          <w:w w:val="100"/>
          <w:sz w:val="24"/>
          <w:szCs w:val="24"/>
          <w:vertAlign w:val="baseline"/>
        </w:rPr>
        <w:t>”四位一体的商业模式，以轻量化智能质检系统为核心，为中小钢材企业提供高性价比的来料质检解决方案。通过销售硬件模组获得基础收入，通过软件授权与算法升级实现技术价值变现，通过增值服务创造长期持续收益，通过租赁模式降低客户入手门槛，构建“一次性销售+长期服务”的盈利闭环。</w:t>
      </w:r>
    </w:p>
    <w:p w14:paraId="001FE4D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以高性价比硬件为流量入口，凭借技术优势与服务体验收获客户，通过软件升级与增值服务提升客户粘性与客户价值，实现可持续盈利与规模化发展。</w:t>
      </w:r>
    </w:p>
    <w:p w14:paraId="7E30E2B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0B62EEC4">
      <w:pPr>
        <w:pStyle w:val="12"/>
        <w:keepNext w:val="0"/>
        <w:keepLines w:val="0"/>
        <w:widowControl/>
        <w:suppressLineNumbers w:val="0"/>
        <w:spacing w:before="0" w:beforeAutospacing="0" w:after="0" w:afterAutospacing="0" w:line="15" w:lineRule="atLeast"/>
        <w:ind w:left="0" w:leftChars="0" w:right="0" w:rightChars="0"/>
        <w:jc w:val="left"/>
        <w:outlineLvl w:val="1"/>
        <w:rPr>
          <w:rFonts w:hint="eastAsia" w:ascii="黑体" w:hAnsi="黑体" w:eastAsia="黑体" w:cs="黑体"/>
          <w:sz w:val="32"/>
          <w:szCs w:val="32"/>
        </w:rPr>
      </w:pPr>
      <w:bookmarkStart w:id="35" w:name="_Toc25531"/>
      <w:bookmarkStart w:id="36" w:name="_Toc5695"/>
      <w:r>
        <w:rPr>
          <w:rFonts w:hint="eastAsia" w:ascii="黑体" w:hAnsi="黑体" w:eastAsia="黑体" w:cs="黑体"/>
          <w:b/>
          <w:bCs/>
          <w:i w:val="0"/>
          <w:iCs w:val="0"/>
          <w:color w:val="000000"/>
          <w:spacing w:val="0"/>
          <w:w w:val="100"/>
          <w:sz w:val="32"/>
          <w:szCs w:val="32"/>
          <w:vertAlign w:val="baseline"/>
        </w:rPr>
        <w:t>4.1.2 商业模式画布</w:t>
      </w:r>
      <w:bookmarkEnd w:id="35"/>
      <w:bookmarkEnd w:id="36"/>
    </w:p>
    <w:p w14:paraId="0B77D8B2">
      <w:pPr>
        <w:pStyle w:val="12"/>
        <w:keepNext w:val="0"/>
        <w:keepLines w:val="0"/>
        <w:widowControl/>
        <w:suppressLineNumbers w:val="0"/>
        <w:spacing w:before="0" w:beforeAutospacing="0" w:after="0" w:afterAutospacing="0"/>
        <w:ind w:left="0" w:right="0"/>
        <w:jc w:val="both"/>
      </w:pPr>
      <w:r>
        <w:drawing>
          <wp:inline distT="0" distB="0" distL="114300" distR="114300">
            <wp:extent cx="5267325" cy="1323975"/>
            <wp:effectExtent l="0" t="0" r="3175" b="9525"/>
            <wp:docPr id="37"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descr="IMG_256"/>
                    <pic:cNvPicPr>
                      <a:picLocks noChangeAspect="1"/>
                    </pic:cNvPicPr>
                  </pic:nvPicPr>
                  <pic:blipFill>
                    <a:blip r:embed="rId26"/>
                    <a:stretch>
                      <a:fillRect/>
                    </a:stretch>
                  </pic:blipFill>
                  <pic:spPr>
                    <a:xfrm>
                      <a:off x="0" y="0"/>
                      <a:ext cx="5267325" cy="1323975"/>
                    </a:xfrm>
                    <a:prstGeom prst="rect">
                      <a:avLst/>
                    </a:prstGeom>
                    <a:noFill/>
                    <a:ln w="9525">
                      <a:noFill/>
                    </a:ln>
                  </pic:spPr>
                </pic:pic>
              </a:graphicData>
            </a:graphic>
          </wp:inline>
        </w:drawing>
      </w:r>
    </w:p>
    <w:p w14:paraId="7784DD8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480" w:firstLineChars="200"/>
        <w:jc w:val="center"/>
        <w:textAlignment w:val="auto"/>
        <w:rPr>
          <w:rFonts w:hint="eastAsia" w:ascii="宋体" w:hAnsi="宋体" w:eastAsia="宋体" w:cs="宋体"/>
          <w:b w:val="0"/>
          <w:bCs w:val="0"/>
          <w:i w:val="0"/>
          <w:iCs w:val="0"/>
          <w:color w:val="000000"/>
          <w:spacing w:val="0"/>
          <w:w w:val="100"/>
          <w:sz w:val="18"/>
          <w:szCs w:val="18"/>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w:t>
      </w:r>
      <w:r>
        <w:rPr>
          <w:rFonts w:hint="eastAsia" w:ascii="宋体" w:hAnsi="宋体" w:eastAsia="宋体" w:cs="宋体"/>
          <w:b w:val="0"/>
          <w:bCs w:val="0"/>
          <w:i w:val="0"/>
          <w:iCs w:val="0"/>
          <w:color w:val="000000"/>
          <w:spacing w:val="0"/>
          <w:w w:val="100"/>
          <w:sz w:val="18"/>
          <w:szCs w:val="18"/>
          <w:vertAlign w:val="baseline"/>
          <w:lang w:val="en-US" w:eastAsia="zh-CN"/>
        </w:rPr>
        <w:t>4-1商业模式分布示意图</w:t>
      </w:r>
      <w:r>
        <w:rPr>
          <w:rFonts w:hint="eastAsia" w:ascii="宋体" w:hAnsi="宋体" w:eastAsia="宋体" w:cs="宋体"/>
          <w:b w:val="0"/>
          <w:bCs w:val="0"/>
          <w:i w:val="0"/>
          <w:iCs w:val="0"/>
          <w:color w:val="000000"/>
          <w:spacing w:val="0"/>
          <w:w w:val="100"/>
          <w:sz w:val="18"/>
          <w:szCs w:val="18"/>
          <w:vertAlign w:val="baseline"/>
          <w:lang w:eastAsia="zh-CN"/>
        </w:rPr>
        <w:t>）</w:t>
      </w:r>
    </w:p>
    <w:p w14:paraId="620928E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360" w:firstLineChars="200"/>
        <w:jc w:val="center"/>
        <w:textAlignment w:val="auto"/>
        <w:rPr>
          <w:rFonts w:hint="eastAsia" w:ascii="宋体" w:hAnsi="宋体" w:eastAsia="宋体" w:cs="宋体"/>
          <w:b w:val="0"/>
          <w:bCs w:val="0"/>
          <w:i w:val="0"/>
          <w:iCs w:val="0"/>
          <w:color w:val="000000"/>
          <w:spacing w:val="0"/>
          <w:w w:val="100"/>
          <w:sz w:val="18"/>
          <w:szCs w:val="18"/>
          <w:vertAlign w:val="baseline"/>
          <w:lang w:eastAsia="zh-CN"/>
        </w:rPr>
      </w:pPr>
    </w:p>
    <w:p w14:paraId="07819656">
      <w:pPr>
        <w:pStyle w:val="12"/>
        <w:keepNext w:val="0"/>
        <w:keepLines w:val="0"/>
        <w:widowControl/>
        <w:suppressLineNumbers w:val="0"/>
        <w:spacing w:before="0" w:beforeAutospacing="0" w:after="0" w:afterAutospacing="0" w:line="15" w:lineRule="atLeast"/>
        <w:ind w:left="0" w:leftChars="0" w:right="0" w:rightChars="0"/>
        <w:jc w:val="left"/>
        <w:outlineLvl w:val="0"/>
        <w:rPr>
          <w:rFonts w:hint="eastAsia" w:ascii="黑体" w:hAnsi="黑体" w:eastAsia="黑体" w:cs="黑体"/>
          <w:sz w:val="36"/>
          <w:szCs w:val="36"/>
        </w:rPr>
      </w:pPr>
      <w:bookmarkStart w:id="37" w:name="_Toc13305"/>
      <w:bookmarkStart w:id="38" w:name="_Toc3372"/>
      <w:r>
        <w:rPr>
          <w:rFonts w:hint="eastAsia" w:ascii="黑体" w:hAnsi="黑体" w:eastAsia="黑体" w:cs="黑体"/>
          <w:b/>
          <w:bCs/>
          <w:i w:val="0"/>
          <w:iCs w:val="0"/>
          <w:color w:val="000000"/>
          <w:spacing w:val="0"/>
          <w:w w:val="100"/>
          <w:sz w:val="36"/>
          <w:szCs w:val="36"/>
          <w:vertAlign w:val="baseline"/>
        </w:rPr>
        <w:t>4.2 项目盈利模式</w:t>
      </w:r>
      <w:bookmarkEnd w:id="37"/>
      <w:bookmarkEnd w:id="38"/>
    </w:p>
    <w:p w14:paraId="58788D4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项目构建多元化盈利体系，兼顾短期现金流与长期收益，形成健康可持续的盈利结构。</w:t>
      </w:r>
    </w:p>
    <w:p w14:paraId="0EA2B74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62EE446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118FEA05">
      <w:pPr>
        <w:pStyle w:val="12"/>
        <w:keepNext w:val="0"/>
        <w:keepLines w:val="0"/>
        <w:widowControl/>
        <w:suppressLineNumbers w:val="0"/>
        <w:spacing w:before="0" w:beforeAutospacing="0" w:after="0" w:afterAutospacing="0" w:line="15" w:lineRule="atLeast"/>
        <w:ind w:left="0" w:leftChars="0" w:right="0" w:rightChars="0"/>
        <w:jc w:val="left"/>
        <w:outlineLvl w:val="1"/>
        <w:rPr>
          <w:rFonts w:hint="eastAsia" w:ascii="黑体" w:hAnsi="黑体" w:eastAsia="黑体" w:cs="黑体"/>
          <w:sz w:val="32"/>
          <w:szCs w:val="32"/>
        </w:rPr>
      </w:pPr>
      <w:bookmarkStart w:id="39" w:name="_Toc8789"/>
      <w:bookmarkStart w:id="40" w:name="_Toc3404"/>
      <w:r>
        <w:rPr>
          <w:rFonts w:hint="eastAsia" w:ascii="黑体" w:hAnsi="黑体" w:eastAsia="黑体" w:cs="黑体"/>
          <w:b/>
          <w:bCs/>
          <w:i w:val="0"/>
          <w:iCs w:val="0"/>
          <w:color w:val="000000"/>
          <w:spacing w:val="0"/>
          <w:w w:val="100"/>
          <w:sz w:val="32"/>
          <w:szCs w:val="32"/>
          <w:vertAlign w:val="baseline"/>
        </w:rPr>
        <w:t>4.2.1 硬件销售盈利</w:t>
      </w:r>
      <w:bookmarkEnd w:id="39"/>
      <w:bookmarkEnd w:id="40"/>
    </w:p>
    <w:p w14:paraId="6699750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硬件销售是项目初期的核心收入来源，产品包括多角度LED光源模组、工业相机、边缘计算网关、支架与声光报警器等。通过规模化采购+自主集成控制成本，面向不同需求推出基础版、标准版、高级版三档配置，实施差异化定价。单套硬件毛利率约40%，为项目提供稳定的现金流。</w:t>
      </w:r>
    </w:p>
    <w:p w14:paraId="717A1E3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0430EF21">
      <w:pPr>
        <w:pStyle w:val="12"/>
        <w:keepNext w:val="0"/>
        <w:keepLines w:val="0"/>
        <w:widowControl/>
        <w:suppressLineNumbers w:val="0"/>
        <w:spacing w:before="0" w:beforeAutospacing="0" w:after="0" w:afterAutospacing="0" w:line="15" w:lineRule="atLeast"/>
        <w:ind w:left="0" w:leftChars="0" w:right="0" w:rightChars="0"/>
        <w:jc w:val="left"/>
        <w:outlineLvl w:val="1"/>
        <w:rPr>
          <w:rFonts w:hint="eastAsia" w:ascii="黑体" w:hAnsi="黑体" w:eastAsia="黑体" w:cs="黑体"/>
          <w:sz w:val="32"/>
          <w:szCs w:val="32"/>
        </w:rPr>
      </w:pPr>
      <w:bookmarkStart w:id="41" w:name="_Toc13565"/>
      <w:bookmarkStart w:id="42" w:name="_Toc11933"/>
      <w:r>
        <w:rPr>
          <w:rFonts w:hint="eastAsia" w:ascii="黑体" w:hAnsi="黑体" w:eastAsia="黑体" w:cs="黑体"/>
          <w:b/>
          <w:bCs/>
          <w:i w:val="0"/>
          <w:iCs w:val="0"/>
          <w:color w:val="000000"/>
          <w:spacing w:val="0"/>
          <w:w w:val="100"/>
          <w:sz w:val="32"/>
          <w:szCs w:val="32"/>
          <w:vertAlign w:val="baseline"/>
        </w:rPr>
        <w:t>4.2.2 软件授权盈利</w:t>
      </w:r>
      <w:bookmarkEnd w:id="41"/>
      <w:bookmarkEnd w:id="42"/>
    </w:p>
    <w:p w14:paraId="2AFB78F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软件授权是核心盈利点，涵盖检测算法引擎、可视化操作平台、数据分析系统。采用“基础功能免费+高级功能收费”模式，基础锈蚀检测功能随硬件附赠，裂纹检测、多品类适配、云端数据管理等高级功能按年授权收费。软件授权毛利率超80%，是利润的主要来源。老客户续费享8折优惠，提升续约率与客户粘性。</w:t>
      </w:r>
    </w:p>
    <w:p w14:paraId="774BB8C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val="0"/>
          <w:bCs w:val="0"/>
          <w:i w:val="0"/>
          <w:iCs w:val="0"/>
          <w:color w:val="000000"/>
          <w:spacing w:val="0"/>
          <w:w w:val="100"/>
          <w:sz w:val="24"/>
          <w:szCs w:val="24"/>
          <w:vertAlign w:val="baseline"/>
        </w:rPr>
      </w:pPr>
    </w:p>
    <w:p w14:paraId="2566AA9C">
      <w:pPr>
        <w:pStyle w:val="12"/>
        <w:keepNext w:val="0"/>
        <w:keepLines w:val="0"/>
        <w:widowControl/>
        <w:suppressLineNumbers w:val="0"/>
        <w:spacing w:before="0" w:beforeAutospacing="0" w:after="0" w:afterAutospacing="0" w:line="15" w:lineRule="atLeast"/>
        <w:ind w:left="0" w:leftChars="0" w:right="0" w:rightChars="0"/>
        <w:jc w:val="left"/>
        <w:outlineLvl w:val="1"/>
        <w:rPr>
          <w:rFonts w:hint="eastAsia" w:ascii="黑体" w:hAnsi="黑体" w:eastAsia="黑体" w:cs="黑体"/>
          <w:sz w:val="32"/>
          <w:szCs w:val="32"/>
        </w:rPr>
      </w:pPr>
      <w:bookmarkStart w:id="43" w:name="_Toc24696"/>
      <w:bookmarkStart w:id="44" w:name="_Toc1741"/>
      <w:r>
        <w:rPr>
          <w:rFonts w:hint="eastAsia" w:ascii="黑体" w:hAnsi="黑体" w:eastAsia="黑体" w:cs="黑体"/>
          <w:b/>
          <w:bCs/>
          <w:i w:val="0"/>
          <w:iCs w:val="0"/>
          <w:color w:val="000000"/>
          <w:spacing w:val="0"/>
          <w:w w:val="100"/>
          <w:sz w:val="32"/>
          <w:szCs w:val="32"/>
          <w:vertAlign w:val="baseline"/>
        </w:rPr>
        <w:t>4.2.3 增值服务盈利</w:t>
      </w:r>
      <w:bookmarkEnd w:id="43"/>
      <w:bookmarkEnd w:id="44"/>
    </w:p>
    <w:p w14:paraId="33FC2B8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增值服务是长期盈利增长点，包括：</w:t>
      </w:r>
    </w:p>
    <w:p w14:paraId="31706C10">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rPr>
        <w:t>部署调试服务</w:t>
      </w:r>
      <w:r>
        <w:rPr>
          <w:rFonts w:hint="eastAsia" w:ascii="宋体" w:hAnsi="宋体" w:eastAsia="宋体" w:cs="宋体"/>
          <w:b w:val="0"/>
          <w:bCs w:val="0"/>
          <w:i w:val="0"/>
          <w:iCs w:val="0"/>
          <w:color w:val="000000"/>
          <w:spacing w:val="0"/>
          <w:w w:val="100"/>
          <w:sz w:val="24"/>
          <w:szCs w:val="24"/>
          <w:vertAlign w:val="baseline"/>
        </w:rPr>
        <w:t>：上门安装、调试与人员培训，按次收费；</w:t>
      </w:r>
    </w:p>
    <w:p w14:paraId="120A1E25">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rPr>
        <w:t>年度技术服务</w:t>
      </w:r>
      <w:r>
        <w:rPr>
          <w:rFonts w:hint="eastAsia" w:ascii="宋体" w:hAnsi="宋体" w:eastAsia="宋体" w:cs="宋体"/>
          <w:b w:val="0"/>
          <w:bCs w:val="0"/>
          <w:i w:val="0"/>
          <w:iCs w:val="0"/>
          <w:color w:val="000000"/>
          <w:spacing w:val="0"/>
          <w:w w:val="100"/>
          <w:sz w:val="24"/>
          <w:szCs w:val="24"/>
          <w:vertAlign w:val="baseline"/>
        </w:rPr>
        <w:t>：定期算法升级、远程故障排查、现场维护，按年收费；</w:t>
      </w:r>
    </w:p>
    <w:p w14:paraId="4140D71B">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rPr>
        <w:t>定制化开发</w:t>
      </w:r>
      <w:r>
        <w:rPr>
          <w:rFonts w:hint="eastAsia" w:ascii="宋体" w:hAnsi="宋体" w:eastAsia="宋体" w:cs="宋体"/>
          <w:b w:val="0"/>
          <w:bCs w:val="0"/>
          <w:i w:val="0"/>
          <w:iCs w:val="0"/>
          <w:color w:val="000000"/>
          <w:spacing w:val="0"/>
          <w:w w:val="100"/>
          <w:sz w:val="24"/>
          <w:szCs w:val="24"/>
          <w:vertAlign w:val="baseline"/>
        </w:rPr>
        <w:t>：针对特殊工件、特殊标准提供定制算法开发，按项目收费；</w:t>
      </w:r>
    </w:p>
    <w:p w14:paraId="4B36A3C6">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rPr>
        <w:t>质量咨询服务</w:t>
      </w:r>
      <w:r>
        <w:rPr>
          <w:rFonts w:hint="eastAsia" w:ascii="宋体" w:hAnsi="宋体" w:eastAsia="宋体" w:cs="宋体"/>
          <w:b w:val="0"/>
          <w:bCs w:val="0"/>
          <w:i w:val="0"/>
          <w:iCs w:val="0"/>
          <w:color w:val="000000"/>
          <w:spacing w:val="0"/>
          <w:w w:val="100"/>
          <w:sz w:val="24"/>
          <w:szCs w:val="24"/>
          <w:vertAlign w:val="baseline"/>
        </w:rPr>
        <w:t>：结合质检数据提供质量管控优化方案，按次收费。</w:t>
      </w:r>
    </w:p>
    <w:p w14:paraId="001ECAD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增值服务利润率高，可形成持续稳定收入，提升客户生命周期价值。</w:t>
      </w:r>
    </w:p>
    <w:p w14:paraId="66A3105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val="0"/>
          <w:bCs w:val="0"/>
          <w:i w:val="0"/>
          <w:iCs w:val="0"/>
          <w:color w:val="000000"/>
          <w:spacing w:val="0"/>
          <w:w w:val="100"/>
          <w:sz w:val="24"/>
          <w:szCs w:val="24"/>
          <w:vertAlign w:val="baseline"/>
        </w:rPr>
      </w:pPr>
    </w:p>
    <w:p w14:paraId="58F7C928">
      <w:pPr>
        <w:pStyle w:val="12"/>
        <w:keepNext w:val="0"/>
        <w:keepLines w:val="0"/>
        <w:widowControl/>
        <w:suppressLineNumbers w:val="0"/>
        <w:spacing w:before="0" w:beforeAutospacing="0" w:after="0" w:afterAutospacing="0" w:line="15" w:lineRule="atLeast"/>
        <w:ind w:left="0" w:right="0"/>
        <w:jc w:val="left"/>
        <w:rPr>
          <w:rFonts w:hint="eastAsia" w:ascii="黑体" w:hAnsi="黑体" w:eastAsia="黑体" w:cs="黑体"/>
          <w:b/>
          <w:bCs/>
          <w:i w:val="0"/>
          <w:iCs w:val="0"/>
          <w:color w:val="000000"/>
          <w:spacing w:val="0"/>
          <w:w w:val="100"/>
          <w:sz w:val="32"/>
          <w:szCs w:val="32"/>
          <w:vertAlign w:val="baseline"/>
        </w:rPr>
      </w:pPr>
    </w:p>
    <w:p w14:paraId="70C58C0A">
      <w:pPr>
        <w:pStyle w:val="12"/>
        <w:keepNext w:val="0"/>
        <w:keepLines w:val="0"/>
        <w:widowControl/>
        <w:suppressLineNumbers w:val="0"/>
        <w:spacing w:before="0" w:beforeAutospacing="0" w:after="0" w:afterAutospacing="0" w:line="15" w:lineRule="atLeast"/>
        <w:ind w:left="0" w:right="0"/>
        <w:jc w:val="left"/>
        <w:rPr>
          <w:rFonts w:hint="eastAsia" w:ascii="黑体" w:hAnsi="黑体" w:eastAsia="黑体" w:cs="黑体"/>
          <w:b/>
          <w:bCs/>
          <w:i w:val="0"/>
          <w:iCs w:val="0"/>
          <w:color w:val="000000"/>
          <w:spacing w:val="0"/>
          <w:w w:val="100"/>
          <w:sz w:val="32"/>
          <w:szCs w:val="32"/>
          <w:vertAlign w:val="baseline"/>
        </w:rPr>
      </w:pPr>
    </w:p>
    <w:p w14:paraId="40607A8D">
      <w:pPr>
        <w:pStyle w:val="12"/>
        <w:keepNext w:val="0"/>
        <w:keepLines w:val="0"/>
        <w:widowControl/>
        <w:suppressLineNumbers w:val="0"/>
        <w:spacing w:before="0" w:beforeAutospacing="0" w:after="0" w:afterAutospacing="0" w:line="15" w:lineRule="atLeast"/>
        <w:ind w:left="0" w:right="0"/>
        <w:jc w:val="left"/>
        <w:rPr>
          <w:rFonts w:hint="eastAsia" w:ascii="黑体" w:hAnsi="黑体" w:eastAsia="黑体" w:cs="黑体"/>
          <w:b/>
          <w:bCs/>
          <w:i w:val="0"/>
          <w:iCs w:val="0"/>
          <w:color w:val="000000"/>
          <w:spacing w:val="0"/>
          <w:w w:val="100"/>
          <w:sz w:val="32"/>
          <w:szCs w:val="32"/>
          <w:vertAlign w:val="baseline"/>
        </w:rPr>
      </w:pPr>
    </w:p>
    <w:p w14:paraId="6C244212">
      <w:pPr>
        <w:pStyle w:val="12"/>
        <w:keepNext w:val="0"/>
        <w:keepLines w:val="0"/>
        <w:widowControl/>
        <w:suppressLineNumbers w:val="0"/>
        <w:spacing w:before="0" w:beforeAutospacing="0" w:after="0" w:afterAutospacing="0" w:line="15" w:lineRule="atLeast"/>
        <w:ind w:left="0" w:leftChars="0" w:right="0" w:rightChars="0"/>
        <w:jc w:val="left"/>
        <w:outlineLvl w:val="1"/>
        <w:rPr>
          <w:rFonts w:hint="eastAsia" w:ascii="黑体" w:hAnsi="黑体" w:eastAsia="黑体" w:cs="黑体"/>
          <w:b/>
          <w:bCs/>
          <w:i w:val="0"/>
          <w:iCs w:val="0"/>
          <w:color w:val="000000"/>
          <w:spacing w:val="0"/>
          <w:w w:val="100"/>
          <w:sz w:val="32"/>
          <w:szCs w:val="32"/>
          <w:vertAlign w:val="baseline"/>
        </w:rPr>
      </w:pPr>
      <w:bookmarkStart w:id="45" w:name="_Toc28785"/>
      <w:bookmarkStart w:id="46" w:name="_Toc13169"/>
      <w:r>
        <w:rPr>
          <w:rFonts w:hint="eastAsia" w:ascii="黑体" w:hAnsi="黑体" w:eastAsia="黑体" w:cs="黑体"/>
          <w:b/>
          <w:bCs/>
          <w:i w:val="0"/>
          <w:iCs w:val="0"/>
          <w:color w:val="000000"/>
          <w:spacing w:val="0"/>
          <w:w w:val="100"/>
          <w:sz w:val="32"/>
          <w:szCs w:val="32"/>
          <w:vertAlign w:val="baseline"/>
        </w:rPr>
        <w:t>4.2.4 设备租赁盈利</w:t>
      </w:r>
      <w:bookmarkEnd w:id="45"/>
      <w:bookmarkEnd w:id="46"/>
    </w:p>
    <w:p w14:paraId="410743B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针对预算有限、短期使用的客户，提供设备租赁服务。按月收取租金，租期灵活，租赁满一定期限设备归客户所有。租赁模式降低了客户准入门槛，可快速抢占市场，同时实现更高的长期收益。</w:t>
      </w:r>
    </w:p>
    <w:p w14:paraId="0B7CDEB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val="0"/>
          <w:bCs w:val="0"/>
          <w:i w:val="0"/>
          <w:iCs w:val="0"/>
          <w:color w:val="000000"/>
          <w:spacing w:val="0"/>
          <w:w w:val="100"/>
          <w:sz w:val="24"/>
          <w:szCs w:val="24"/>
          <w:vertAlign w:val="baseline"/>
        </w:rPr>
      </w:pPr>
    </w:p>
    <w:p w14:paraId="37F4714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pPr>
      <w:bookmarkStart w:id="47" w:name="_Toc18680"/>
      <w:bookmarkStart w:id="48" w:name="_Toc23324"/>
      <w:r>
        <w:rPr>
          <w:rFonts w:hint="eastAsia" w:ascii="黑体" w:hAnsi="黑体" w:eastAsia="黑体" w:cs="黑体"/>
          <w:b/>
          <w:bCs/>
          <w:i w:val="0"/>
          <w:iCs w:val="0"/>
          <w:color w:val="000000"/>
          <w:spacing w:val="0"/>
          <w:w w:val="100"/>
          <w:sz w:val="36"/>
          <w:szCs w:val="36"/>
          <w:vertAlign w:val="baseline"/>
        </w:rPr>
        <w:t>4.3 项目业务实施流程</w:t>
      </w:r>
      <w:bookmarkEnd w:id="47"/>
      <w:bookmarkEnd w:id="48"/>
    </w:p>
    <w:p w14:paraId="7709FC1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49" w:name="_Toc28926"/>
      <w:bookmarkStart w:id="50" w:name="_Toc27083"/>
      <w:r>
        <w:rPr>
          <w:rFonts w:hint="eastAsia" w:ascii="黑体" w:hAnsi="黑体" w:eastAsia="黑体" w:cs="黑体"/>
          <w:b/>
          <w:bCs/>
          <w:i w:val="0"/>
          <w:iCs w:val="0"/>
          <w:color w:val="000000"/>
          <w:spacing w:val="0"/>
          <w:w w:val="100"/>
          <w:sz w:val="32"/>
          <w:szCs w:val="32"/>
          <w:vertAlign w:val="baseline"/>
        </w:rPr>
        <w:t>4.3.1 项目启动阶段（1-3个月）</w:t>
      </w:r>
      <w:bookmarkEnd w:id="49"/>
      <w:bookmarkEnd w:id="50"/>
    </w:p>
    <w:p w14:paraId="33C687B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组建核心团队，落实研发场地与设备，签订核心供应商合作协议；完成算法原型验证与硬件选型，启动产品化设计与品牌建设。</w:t>
      </w:r>
    </w:p>
    <w:p w14:paraId="2CBBEF4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6758113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51" w:name="_Toc13912"/>
      <w:bookmarkStart w:id="52" w:name="_Toc20044"/>
      <w:r>
        <w:rPr>
          <w:rFonts w:hint="eastAsia" w:ascii="黑体" w:hAnsi="黑体" w:eastAsia="黑体" w:cs="黑体"/>
          <w:b/>
          <w:bCs/>
          <w:i w:val="0"/>
          <w:iCs w:val="0"/>
          <w:color w:val="000000"/>
          <w:spacing w:val="0"/>
          <w:w w:val="100"/>
          <w:sz w:val="32"/>
          <w:szCs w:val="32"/>
          <w:vertAlign w:val="baseline"/>
        </w:rPr>
        <w:t>4.3.2 需求调研与产品开发阶段（3-6个月）</w:t>
      </w:r>
      <w:bookmarkEnd w:id="51"/>
      <w:bookmarkEnd w:id="52"/>
    </w:p>
    <w:p w14:paraId="3BEB0ED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深入市场进行调研，明确客户痛点与需求；完成产品整体方案设计；开发核心算法与软件平台，完成硬件集成与联调。</w:t>
      </w:r>
    </w:p>
    <w:p w14:paraId="754BCC4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5608C4B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53" w:name="_Toc18606"/>
      <w:bookmarkStart w:id="54" w:name="_Toc30926"/>
      <w:r>
        <w:rPr>
          <w:rFonts w:hint="eastAsia" w:ascii="黑体" w:hAnsi="黑体" w:eastAsia="黑体" w:cs="黑体"/>
          <w:b/>
          <w:bCs/>
          <w:i w:val="0"/>
          <w:iCs w:val="0"/>
          <w:color w:val="000000"/>
          <w:spacing w:val="0"/>
          <w:w w:val="100"/>
          <w:sz w:val="32"/>
          <w:szCs w:val="32"/>
          <w:vertAlign w:val="baseline"/>
        </w:rPr>
        <w:t>4.3.3 测试与试点阶段（6-12个月）</w:t>
      </w:r>
      <w:bookmarkEnd w:id="53"/>
      <w:bookmarkEnd w:id="54"/>
    </w:p>
    <w:p w14:paraId="352328A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完成实验室内性能测试与环境可靠性测试；选取3-5家试点企业免费部署，收集现场数据与反馈；持续迭代优化产品，确保稳定可靠。</w:t>
      </w:r>
    </w:p>
    <w:p w14:paraId="4CAA2CA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3EEB024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55" w:name="_Toc11096"/>
      <w:bookmarkStart w:id="56" w:name="_Toc17222"/>
      <w:r>
        <w:rPr>
          <w:rFonts w:hint="eastAsia" w:ascii="黑体" w:hAnsi="黑体" w:eastAsia="黑体" w:cs="黑体"/>
          <w:b/>
          <w:bCs/>
          <w:i w:val="0"/>
          <w:iCs w:val="0"/>
          <w:color w:val="000000"/>
          <w:spacing w:val="0"/>
          <w:w w:val="100"/>
          <w:sz w:val="32"/>
          <w:szCs w:val="32"/>
          <w:vertAlign w:val="baseline"/>
        </w:rPr>
        <w:t>4.3.4 标准化与市场推广阶段（12-18个月）</w:t>
      </w:r>
      <w:bookmarkEnd w:id="55"/>
      <w:bookmarkEnd w:id="56"/>
    </w:p>
    <w:p w14:paraId="2592160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形成标准化产品体系与服务流程；搭建多方销售渠道，开展品牌推广；批量投放市场，实现规模化销售。</w:t>
      </w:r>
    </w:p>
    <w:p w14:paraId="5690E4B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663AC12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57" w:name="_Toc13273"/>
      <w:bookmarkStart w:id="58" w:name="_Toc20419"/>
      <w:r>
        <w:rPr>
          <w:rFonts w:hint="eastAsia" w:ascii="黑体" w:hAnsi="黑体" w:eastAsia="黑体" w:cs="黑体"/>
          <w:b/>
          <w:bCs/>
          <w:i w:val="0"/>
          <w:iCs w:val="0"/>
          <w:color w:val="000000"/>
          <w:spacing w:val="0"/>
          <w:w w:val="100"/>
          <w:sz w:val="32"/>
          <w:szCs w:val="32"/>
          <w:vertAlign w:val="baseline"/>
        </w:rPr>
        <w:t>4.3.5 市场扩张与品类拓展阶段（18-36个月）</w:t>
      </w:r>
      <w:bookmarkEnd w:id="57"/>
      <w:bookmarkEnd w:id="58"/>
    </w:p>
    <w:p w14:paraId="3A4E9EA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拓展周边区域市场，发展经销商；推出多品种、多版本产品；完善各方面服务体系，提升品牌知名度与市场占有率。</w:t>
      </w:r>
    </w:p>
    <w:p w14:paraId="6A354A0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6E7080B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59" w:name="_Toc22284"/>
      <w:bookmarkStart w:id="60" w:name="_Toc16978"/>
      <w:r>
        <w:rPr>
          <w:rFonts w:hint="eastAsia" w:ascii="黑体" w:hAnsi="黑体" w:eastAsia="黑体" w:cs="黑体"/>
          <w:b/>
          <w:bCs/>
          <w:i w:val="0"/>
          <w:iCs w:val="0"/>
          <w:color w:val="000000"/>
          <w:spacing w:val="0"/>
          <w:w w:val="100"/>
          <w:sz w:val="32"/>
          <w:szCs w:val="32"/>
          <w:vertAlign w:val="baseline"/>
        </w:rPr>
        <w:t>4.3.6 生态构建与国际化阶段（长期）</w:t>
      </w:r>
      <w:bookmarkEnd w:id="59"/>
      <w:bookmarkEnd w:id="60"/>
    </w:p>
    <w:p w14:paraId="53A3391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拓展更多金属质检场景，构建云端质检平台；布局海外市场，打造国际化工业质检品牌。</w:t>
      </w:r>
    </w:p>
    <w:p w14:paraId="310A59D7">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0B91E9A1">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61E8E89E">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37ED06B0">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14779993">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6496A40A">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76ACAEBE">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0F169BB7">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54D4C31E">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592E1BFF">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06B2C701">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2E5B66AF">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2E84C2F4">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393D1617">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32325FF2">
      <w:pPr>
        <w:pStyle w:val="12"/>
        <w:keepNext w:val="0"/>
        <w:keepLines w:val="0"/>
        <w:widowControl/>
        <w:suppressLineNumbers w:val="0"/>
        <w:spacing w:before="0" w:beforeAutospacing="0" w:after="0" w:afterAutospacing="0" w:line="15" w:lineRule="atLeast"/>
        <w:ind w:left="0" w:right="0"/>
        <w:jc w:val="center"/>
        <w:rPr>
          <w:rFonts w:hint="eastAsia" w:ascii="黑体" w:hAnsi="黑体" w:eastAsia="黑体" w:cs="黑体"/>
          <w:b/>
          <w:bCs/>
          <w:i w:val="0"/>
          <w:iCs w:val="0"/>
          <w:color w:val="000000"/>
          <w:spacing w:val="0"/>
          <w:w w:val="100"/>
          <w:sz w:val="44"/>
          <w:szCs w:val="44"/>
          <w:vertAlign w:val="baseline"/>
        </w:rPr>
      </w:pPr>
    </w:p>
    <w:p w14:paraId="131137FF">
      <w:pPr>
        <w:pStyle w:val="12"/>
        <w:keepNext w:val="0"/>
        <w:keepLines w:val="0"/>
        <w:widowControl/>
        <w:suppressLineNumbers w:val="0"/>
        <w:spacing w:before="0" w:beforeAutospacing="0" w:after="0" w:afterAutospacing="0" w:line="15" w:lineRule="atLeast"/>
        <w:ind w:left="0" w:leftChars="0" w:right="0" w:rightChars="0"/>
        <w:jc w:val="center"/>
        <w:outlineLvl w:val="0"/>
        <w:rPr>
          <w:rFonts w:hint="eastAsia" w:ascii="黑体" w:hAnsi="黑体" w:eastAsia="黑体" w:cs="黑体"/>
          <w:sz w:val="44"/>
          <w:szCs w:val="44"/>
        </w:rPr>
      </w:pPr>
      <w:bookmarkStart w:id="61" w:name="_Toc20352"/>
      <w:bookmarkStart w:id="62" w:name="_Toc3263"/>
      <w:r>
        <w:rPr>
          <w:rFonts w:hint="eastAsia" w:ascii="黑体" w:hAnsi="黑体" w:eastAsia="黑体" w:cs="黑体"/>
          <w:b/>
          <w:bCs/>
          <w:i w:val="0"/>
          <w:iCs w:val="0"/>
          <w:color w:val="000000"/>
          <w:spacing w:val="0"/>
          <w:w w:val="100"/>
          <w:sz w:val="44"/>
          <w:szCs w:val="44"/>
          <w:vertAlign w:val="baseline"/>
        </w:rPr>
        <w:t>第五章 市场营销</w:t>
      </w:r>
      <w:bookmarkEnd w:id="61"/>
      <w:bookmarkEnd w:id="62"/>
    </w:p>
    <w:p w14:paraId="42FB8622">
      <w:pPr>
        <w:pStyle w:val="12"/>
        <w:keepNext w:val="0"/>
        <w:keepLines w:val="0"/>
        <w:widowControl/>
        <w:suppressLineNumbers w:val="0"/>
        <w:spacing w:before="0" w:beforeAutospacing="0" w:after="0" w:afterAutospacing="0" w:line="15" w:lineRule="atLeast"/>
        <w:ind w:left="0" w:leftChars="0" w:right="0" w:rightChars="0"/>
        <w:jc w:val="left"/>
        <w:outlineLvl w:val="0"/>
        <w:rPr>
          <w:rFonts w:hint="eastAsia" w:ascii="黑体" w:hAnsi="黑体" w:eastAsia="黑体" w:cs="黑体"/>
          <w:sz w:val="36"/>
          <w:szCs w:val="36"/>
        </w:rPr>
      </w:pPr>
      <w:bookmarkStart w:id="63" w:name="_Toc12945"/>
      <w:bookmarkStart w:id="64" w:name="_Toc19826"/>
      <w:r>
        <w:rPr>
          <w:rFonts w:hint="eastAsia" w:ascii="黑体" w:hAnsi="黑体" w:eastAsia="黑体" w:cs="黑体"/>
          <w:b/>
          <w:bCs/>
          <w:i w:val="0"/>
          <w:iCs w:val="0"/>
          <w:color w:val="000000"/>
          <w:spacing w:val="0"/>
          <w:w w:val="100"/>
          <w:sz w:val="36"/>
          <w:szCs w:val="36"/>
          <w:vertAlign w:val="baseline"/>
        </w:rPr>
        <w:t>5.1 营销目标</w:t>
      </w:r>
      <w:bookmarkEnd w:id="63"/>
      <w:bookmarkEnd w:id="64"/>
    </w:p>
    <w:p w14:paraId="0309B35B">
      <w:pPr>
        <w:pStyle w:val="12"/>
        <w:keepNext w:val="0"/>
        <w:keepLines w:val="0"/>
        <w:widowControl/>
        <w:suppressLineNumbers w:val="0"/>
        <w:spacing w:before="0" w:beforeAutospacing="0" w:after="0" w:afterAutospacing="0"/>
        <w:ind w:left="0" w:right="0"/>
        <w:jc w:val="both"/>
      </w:pPr>
      <w:r>
        <w:drawing>
          <wp:inline distT="0" distB="0" distL="114300" distR="114300">
            <wp:extent cx="5267325" cy="1562100"/>
            <wp:effectExtent l="0" t="0" r="3175" b="0"/>
            <wp:docPr id="36"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descr="IMG_257"/>
                    <pic:cNvPicPr>
                      <a:picLocks noChangeAspect="1"/>
                    </pic:cNvPicPr>
                  </pic:nvPicPr>
                  <pic:blipFill>
                    <a:blip r:embed="rId27"/>
                    <a:stretch>
                      <a:fillRect/>
                    </a:stretch>
                  </pic:blipFill>
                  <pic:spPr>
                    <a:xfrm>
                      <a:off x="0" y="0"/>
                      <a:ext cx="5267325" cy="1562100"/>
                    </a:xfrm>
                    <a:prstGeom prst="rect">
                      <a:avLst/>
                    </a:prstGeom>
                    <a:noFill/>
                    <a:ln w="9525">
                      <a:noFill/>
                    </a:ln>
                  </pic:spPr>
                </pic:pic>
              </a:graphicData>
            </a:graphic>
          </wp:inline>
        </w:drawing>
      </w:r>
    </w:p>
    <w:p w14:paraId="4774EC9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480" w:firstLineChars="200"/>
        <w:jc w:val="center"/>
        <w:textAlignment w:val="auto"/>
        <w:rPr>
          <w:rFonts w:hint="eastAsia" w:ascii="宋体" w:hAnsi="宋体" w:eastAsia="宋体" w:cs="宋体"/>
          <w:b w:val="0"/>
          <w:bCs w:val="0"/>
          <w:i w:val="0"/>
          <w:iCs w:val="0"/>
          <w:color w:val="000000"/>
          <w:spacing w:val="0"/>
          <w:w w:val="100"/>
          <w:sz w:val="18"/>
          <w:szCs w:val="18"/>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w:t>
      </w:r>
      <w:r>
        <w:rPr>
          <w:rFonts w:hint="eastAsia" w:ascii="宋体" w:hAnsi="宋体" w:eastAsia="宋体" w:cs="宋体"/>
          <w:b w:val="0"/>
          <w:bCs w:val="0"/>
          <w:i w:val="0"/>
          <w:iCs w:val="0"/>
          <w:color w:val="000000"/>
          <w:spacing w:val="0"/>
          <w:w w:val="100"/>
          <w:sz w:val="18"/>
          <w:szCs w:val="18"/>
          <w:vertAlign w:val="baseline"/>
          <w:lang w:val="en-US" w:eastAsia="zh-CN"/>
        </w:rPr>
        <w:t>5-1营销目标示意图</w:t>
      </w:r>
      <w:r>
        <w:rPr>
          <w:rFonts w:hint="eastAsia" w:ascii="宋体" w:hAnsi="宋体" w:eastAsia="宋体" w:cs="宋体"/>
          <w:b w:val="0"/>
          <w:bCs w:val="0"/>
          <w:i w:val="0"/>
          <w:iCs w:val="0"/>
          <w:color w:val="000000"/>
          <w:spacing w:val="0"/>
          <w:w w:val="100"/>
          <w:sz w:val="18"/>
          <w:szCs w:val="18"/>
          <w:vertAlign w:val="baseline"/>
          <w:lang w:eastAsia="zh-CN"/>
        </w:rPr>
        <w:t>）</w:t>
      </w:r>
    </w:p>
    <w:p w14:paraId="729BAD7C">
      <w:pPr>
        <w:pStyle w:val="12"/>
        <w:keepNext w:val="0"/>
        <w:keepLines w:val="0"/>
        <w:widowControl/>
        <w:suppressLineNumbers w:val="0"/>
        <w:spacing w:before="0" w:beforeAutospacing="0" w:after="0" w:afterAutospacing="0"/>
        <w:ind w:left="0" w:right="0"/>
        <w:jc w:val="both"/>
      </w:pPr>
    </w:p>
    <w:p w14:paraId="4F71750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65" w:name="_Toc26341"/>
      <w:bookmarkStart w:id="66" w:name="_Toc32255"/>
      <w:r>
        <w:rPr>
          <w:rFonts w:hint="eastAsia" w:ascii="黑体" w:hAnsi="黑体" w:eastAsia="黑体" w:cs="黑体"/>
          <w:b/>
          <w:bCs/>
          <w:i w:val="0"/>
          <w:iCs w:val="0"/>
          <w:color w:val="000000"/>
          <w:spacing w:val="0"/>
          <w:w w:val="100"/>
          <w:sz w:val="36"/>
          <w:szCs w:val="36"/>
          <w:vertAlign w:val="baseline"/>
        </w:rPr>
        <w:t>5.2 营销策略</w:t>
      </w:r>
      <w:bookmarkEnd w:id="65"/>
      <w:bookmarkEnd w:id="66"/>
    </w:p>
    <w:p w14:paraId="0215A3E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67" w:name="_Toc17684"/>
      <w:bookmarkStart w:id="68" w:name="_Toc16514"/>
      <w:r>
        <w:rPr>
          <w:rFonts w:hint="eastAsia" w:ascii="黑体" w:hAnsi="黑体" w:eastAsia="黑体" w:cs="黑体"/>
          <w:b/>
          <w:bCs/>
          <w:i w:val="0"/>
          <w:iCs w:val="0"/>
          <w:color w:val="000000"/>
          <w:spacing w:val="0"/>
          <w:w w:val="100"/>
          <w:sz w:val="32"/>
          <w:szCs w:val="32"/>
          <w:vertAlign w:val="baseline"/>
        </w:rPr>
        <w:t>5.2.1 产品策略</w:t>
      </w:r>
      <w:bookmarkEnd w:id="67"/>
      <w:bookmarkEnd w:id="68"/>
    </w:p>
    <w:p w14:paraId="4DE8A5C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差异化定位</w:t>
      </w:r>
      <w:r>
        <w:rPr>
          <w:rFonts w:hint="eastAsia" w:ascii="宋体" w:hAnsi="宋体" w:eastAsia="宋体" w:cs="宋体"/>
          <w:b w:val="0"/>
          <w:bCs w:val="0"/>
          <w:i w:val="0"/>
          <w:iCs w:val="0"/>
          <w:color w:val="000000"/>
          <w:spacing w:val="0"/>
          <w:w w:val="100"/>
          <w:sz w:val="24"/>
          <w:szCs w:val="24"/>
          <w:vertAlign w:val="baseline"/>
        </w:rPr>
        <w:t>：主打“低成本、高精度、快部署”，聚焦中小钢材企业来料质检，与高端竞品形成错位竞争；</w:t>
      </w:r>
    </w:p>
    <w:p w14:paraId="193CC79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产品矩阵</w:t>
      </w:r>
      <w:r>
        <w:rPr>
          <w:rFonts w:hint="eastAsia" w:ascii="宋体" w:hAnsi="宋体" w:eastAsia="宋体" w:cs="宋体"/>
          <w:b w:val="0"/>
          <w:bCs w:val="0"/>
          <w:i w:val="0"/>
          <w:iCs w:val="0"/>
          <w:color w:val="000000"/>
          <w:spacing w:val="0"/>
          <w:w w:val="100"/>
          <w:sz w:val="24"/>
          <w:szCs w:val="24"/>
          <w:vertAlign w:val="baseline"/>
        </w:rPr>
        <w:t>：推出基础版、标准版、高级版三档产品，分别对应不同预算与需求，覆盖更广泛客户；</w:t>
      </w:r>
    </w:p>
    <w:p w14:paraId="60B4944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快速迭代</w:t>
      </w:r>
      <w:r>
        <w:rPr>
          <w:rFonts w:hint="eastAsia" w:ascii="宋体" w:hAnsi="宋体" w:eastAsia="宋体" w:cs="宋体"/>
          <w:b w:val="0"/>
          <w:bCs w:val="0"/>
          <w:i w:val="0"/>
          <w:iCs w:val="0"/>
          <w:color w:val="000000"/>
          <w:spacing w:val="0"/>
          <w:w w:val="100"/>
          <w:sz w:val="24"/>
          <w:szCs w:val="24"/>
          <w:vertAlign w:val="baseline"/>
        </w:rPr>
        <w:t>：每6-12个月推出升级版本，持续优化算法与功能，保持产品竞争力。</w:t>
      </w:r>
    </w:p>
    <w:p w14:paraId="5A670DB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p>
    <w:p w14:paraId="545545F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69" w:name="_Toc17025"/>
      <w:bookmarkStart w:id="70" w:name="_Toc13154"/>
      <w:r>
        <w:rPr>
          <w:rFonts w:hint="eastAsia" w:ascii="黑体" w:hAnsi="黑体" w:eastAsia="黑体" w:cs="黑体"/>
          <w:b/>
          <w:bCs/>
          <w:i w:val="0"/>
          <w:iCs w:val="0"/>
          <w:color w:val="000000"/>
          <w:spacing w:val="0"/>
          <w:w w:val="100"/>
          <w:sz w:val="32"/>
          <w:szCs w:val="32"/>
          <w:vertAlign w:val="baseline"/>
        </w:rPr>
        <w:t>5.2.2 价格策略</w:t>
      </w:r>
      <w:bookmarkEnd w:id="69"/>
      <w:bookmarkEnd w:id="70"/>
    </w:p>
    <w:p w14:paraId="022D7B9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渗透定价</w:t>
      </w:r>
      <w:r>
        <w:rPr>
          <w:rFonts w:hint="eastAsia" w:ascii="宋体" w:hAnsi="宋体" w:eastAsia="宋体" w:cs="宋体"/>
          <w:b w:val="0"/>
          <w:bCs w:val="0"/>
          <w:i w:val="0"/>
          <w:iCs w:val="0"/>
          <w:color w:val="000000"/>
          <w:spacing w:val="0"/>
          <w:w w:val="100"/>
          <w:sz w:val="24"/>
          <w:szCs w:val="24"/>
          <w:vertAlign w:val="baseline"/>
        </w:rPr>
        <w:t>：以远低于竞品的价格切入市场，快速抢占市场份额，建立品牌认知；</w:t>
      </w:r>
    </w:p>
    <w:p w14:paraId="659552A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阶梯定价</w:t>
      </w:r>
      <w:r>
        <w:rPr>
          <w:rFonts w:hint="eastAsia" w:ascii="宋体" w:hAnsi="宋体" w:eastAsia="宋体" w:cs="宋体"/>
          <w:b w:val="0"/>
          <w:bCs w:val="0"/>
          <w:i w:val="0"/>
          <w:iCs w:val="0"/>
          <w:color w:val="000000"/>
          <w:spacing w:val="0"/>
          <w:w w:val="100"/>
          <w:sz w:val="24"/>
          <w:szCs w:val="24"/>
          <w:vertAlign w:val="baseline"/>
        </w:rPr>
        <w:t>：根据采购数量、服务年限给予梯度优惠，鼓励客户批量采购与长期合作；</w:t>
      </w:r>
    </w:p>
    <w:p w14:paraId="39BA3F8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组合优惠</w:t>
      </w:r>
      <w:r>
        <w:rPr>
          <w:rFonts w:hint="eastAsia" w:ascii="宋体" w:hAnsi="宋体" w:eastAsia="宋体" w:cs="宋体"/>
          <w:b w:val="0"/>
          <w:bCs w:val="0"/>
          <w:i w:val="0"/>
          <w:iCs w:val="0"/>
          <w:color w:val="000000"/>
          <w:spacing w:val="0"/>
          <w:w w:val="100"/>
          <w:sz w:val="24"/>
          <w:szCs w:val="24"/>
          <w:vertAlign w:val="baseline"/>
        </w:rPr>
        <w:t>：“硬件+软件+服务”打包套餐价格低于单品总价，提升客单价；</w:t>
      </w:r>
    </w:p>
    <w:p w14:paraId="0C54E7D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4. </w:t>
      </w:r>
      <w:r>
        <w:rPr>
          <w:rFonts w:hint="eastAsia" w:ascii="宋体" w:hAnsi="宋体" w:eastAsia="宋体" w:cs="宋体"/>
          <w:b/>
          <w:bCs/>
          <w:i w:val="0"/>
          <w:iCs w:val="0"/>
          <w:color w:val="000000"/>
          <w:spacing w:val="0"/>
          <w:w w:val="100"/>
          <w:sz w:val="24"/>
          <w:szCs w:val="24"/>
          <w:vertAlign w:val="baseline"/>
        </w:rPr>
        <w:t>政策借力</w:t>
      </w:r>
      <w:r>
        <w:rPr>
          <w:rFonts w:hint="eastAsia" w:ascii="宋体" w:hAnsi="宋体" w:eastAsia="宋体" w:cs="宋体"/>
          <w:b w:val="0"/>
          <w:bCs w:val="0"/>
          <w:i w:val="0"/>
          <w:iCs w:val="0"/>
          <w:color w:val="000000"/>
          <w:spacing w:val="0"/>
          <w:w w:val="100"/>
          <w:sz w:val="24"/>
          <w:szCs w:val="24"/>
          <w:vertAlign w:val="baseline"/>
        </w:rPr>
        <w:t>：协助客户申请政府数字化补贴，降低实际采购成本。</w:t>
      </w:r>
    </w:p>
    <w:p w14:paraId="07DCBD5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p>
    <w:p w14:paraId="36B854B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71" w:name="_Toc29851"/>
      <w:bookmarkStart w:id="72" w:name="_Toc30749"/>
      <w:r>
        <w:rPr>
          <w:rFonts w:hint="eastAsia" w:ascii="黑体" w:hAnsi="黑体" w:eastAsia="黑体" w:cs="黑体"/>
          <w:b/>
          <w:bCs/>
          <w:i w:val="0"/>
          <w:iCs w:val="0"/>
          <w:color w:val="000000"/>
          <w:spacing w:val="0"/>
          <w:w w:val="100"/>
          <w:sz w:val="32"/>
          <w:szCs w:val="32"/>
          <w:vertAlign w:val="baseline"/>
        </w:rPr>
        <w:t>5.2.3 渠道策略</w:t>
      </w:r>
      <w:bookmarkEnd w:id="71"/>
      <w:bookmarkEnd w:id="72"/>
    </w:p>
    <w:p w14:paraId="4A7BA31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直销</w:t>
      </w:r>
      <w:r>
        <w:rPr>
          <w:rFonts w:hint="eastAsia" w:ascii="宋体" w:hAnsi="宋体" w:eastAsia="宋体" w:cs="宋体"/>
          <w:b w:val="0"/>
          <w:bCs w:val="0"/>
          <w:i w:val="0"/>
          <w:iCs w:val="0"/>
          <w:color w:val="000000"/>
          <w:spacing w:val="0"/>
          <w:w w:val="100"/>
          <w:sz w:val="24"/>
          <w:szCs w:val="24"/>
          <w:vertAlign w:val="baseline"/>
        </w:rPr>
        <w:t>：针对区域重点客户与标杆企业，组建直销团队提供一对一服务，打造样板案例；</w:t>
      </w:r>
    </w:p>
    <w:p w14:paraId="0613E68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经销</w:t>
      </w:r>
      <w:r>
        <w:rPr>
          <w:rFonts w:hint="eastAsia" w:ascii="宋体" w:hAnsi="宋体" w:eastAsia="宋体" w:cs="宋体"/>
          <w:b w:val="0"/>
          <w:bCs w:val="0"/>
          <w:i w:val="0"/>
          <w:iCs w:val="0"/>
          <w:color w:val="000000"/>
          <w:spacing w:val="0"/>
          <w:w w:val="100"/>
          <w:sz w:val="24"/>
          <w:szCs w:val="24"/>
          <w:vertAlign w:val="baseline"/>
        </w:rPr>
        <w:t>：发展钢材市场、产业园区的本地经销商，借助其客户资源快速下沉市场；</w:t>
      </w:r>
    </w:p>
    <w:p w14:paraId="742FFA1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合作</w:t>
      </w:r>
      <w:r>
        <w:rPr>
          <w:rFonts w:hint="eastAsia" w:ascii="宋体" w:hAnsi="宋体" w:eastAsia="宋体" w:cs="宋体"/>
          <w:b w:val="0"/>
          <w:bCs w:val="0"/>
          <w:i w:val="0"/>
          <w:iCs w:val="0"/>
          <w:color w:val="000000"/>
          <w:spacing w:val="0"/>
          <w:w w:val="100"/>
          <w:sz w:val="24"/>
          <w:szCs w:val="24"/>
          <w:vertAlign w:val="baseline"/>
        </w:rPr>
        <w:t>：与钢材贸易商、设备集成商、产业园区管理方合作，捆绑销售与联合推广；</w:t>
      </w:r>
    </w:p>
    <w:p w14:paraId="19BBA36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4. </w:t>
      </w:r>
      <w:r>
        <w:rPr>
          <w:rFonts w:hint="eastAsia" w:ascii="宋体" w:hAnsi="宋体" w:eastAsia="宋体" w:cs="宋体"/>
          <w:b/>
          <w:bCs/>
          <w:i w:val="0"/>
          <w:iCs w:val="0"/>
          <w:color w:val="000000"/>
          <w:spacing w:val="0"/>
          <w:w w:val="100"/>
          <w:sz w:val="24"/>
          <w:szCs w:val="24"/>
          <w:vertAlign w:val="baseline"/>
        </w:rPr>
        <w:t>线上</w:t>
      </w:r>
      <w:r>
        <w:rPr>
          <w:rFonts w:hint="eastAsia" w:ascii="宋体" w:hAnsi="宋体" w:eastAsia="宋体" w:cs="宋体"/>
          <w:b w:val="0"/>
          <w:bCs w:val="0"/>
          <w:i w:val="0"/>
          <w:iCs w:val="0"/>
          <w:color w:val="000000"/>
          <w:spacing w:val="0"/>
          <w:w w:val="100"/>
          <w:sz w:val="24"/>
          <w:szCs w:val="24"/>
          <w:vertAlign w:val="baseline"/>
        </w:rPr>
        <w:t>：搭建官网与短视频账号，通过行业社群、内容营销引流获客。</w:t>
      </w:r>
    </w:p>
    <w:p w14:paraId="1E938F4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1"/>
          <w:szCs w:val="21"/>
          <w:vertAlign w:val="baseline"/>
        </w:rPr>
      </w:pPr>
    </w:p>
    <w:p w14:paraId="7BAC035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73" w:name="_Toc22649"/>
      <w:bookmarkStart w:id="74" w:name="_Toc7156"/>
      <w:r>
        <w:rPr>
          <w:rFonts w:hint="eastAsia" w:ascii="黑体" w:hAnsi="黑体" w:eastAsia="黑体" w:cs="黑体"/>
          <w:b/>
          <w:bCs/>
          <w:i w:val="0"/>
          <w:iCs w:val="0"/>
          <w:color w:val="000000"/>
          <w:spacing w:val="0"/>
          <w:w w:val="100"/>
          <w:sz w:val="32"/>
          <w:szCs w:val="32"/>
          <w:vertAlign w:val="baseline"/>
        </w:rPr>
        <w:t>5.2.4 推广策略</w:t>
      </w:r>
      <w:bookmarkEnd w:id="73"/>
      <w:bookmarkEnd w:id="74"/>
    </w:p>
    <w:p w14:paraId="34AE119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标杆案例</w:t>
      </w:r>
      <w:r>
        <w:rPr>
          <w:rFonts w:hint="eastAsia" w:ascii="宋体" w:hAnsi="宋体" w:eastAsia="宋体" w:cs="宋体"/>
          <w:b w:val="0"/>
          <w:bCs w:val="0"/>
          <w:i w:val="0"/>
          <w:iCs w:val="0"/>
          <w:color w:val="000000"/>
          <w:spacing w:val="0"/>
          <w:w w:val="100"/>
          <w:sz w:val="24"/>
          <w:szCs w:val="24"/>
          <w:vertAlign w:val="baseline"/>
        </w:rPr>
        <w:t>：打造3-5家标杆客户，制作案例手册与视频，以此扩大影响力；</w:t>
      </w:r>
    </w:p>
    <w:p w14:paraId="7FFB65C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展会推广</w:t>
      </w:r>
      <w:r>
        <w:rPr>
          <w:rFonts w:hint="eastAsia" w:ascii="宋体" w:hAnsi="宋体" w:eastAsia="宋体" w:cs="宋体"/>
          <w:b w:val="0"/>
          <w:bCs w:val="0"/>
          <w:i w:val="0"/>
          <w:iCs w:val="0"/>
          <w:color w:val="000000"/>
          <w:spacing w:val="0"/>
          <w:w w:val="100"/>
          <w:sz w:val="24"/>
          <w:szCs w:val="24"/>
          <w:vertAlign w:val="baseline"/>
        </w:rPr>
        <w:t>：参加钢材博览会、工业自动化展、智能制造展会，现场演示产品效果；</w:t>
      </w:r>
    </w:p>
    <w:p w14:paraId="2919B88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内容营销</w:t>
      </w:r>
      <w:r>
        <w:rPr>
          <w:rFonts w:hint="eastAsia" w:ascii="宋体" w:hAnsi="宋体" w:eastAsia="宋体" w:cs="宋体"/>
          <w:b w:val="0"/>
          <w:bCs w:val="0"/>
          <w:i w:val="0"/>
          <w:iCs w:val="0"/>
          <w:color w:val="000000"/>
          <w:spacing w:val="0"/>
          <w:w w:val="100"/>
          <w:sz w:val="24"/>
          <w:szCs w:val="24"/>
          <w:vertAlign w:val="baseline"/>
        </w:rPr>
        <w:t>：发布质检技术干货、行业痛点分析、客户成功案例，打造专业品牌形象；</w:t>
      </w:r>
    </w:p>
    <w:p w14:paraId="756DF24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4. </w:t>
      </w:r>
      <w:r>
        <w:rPr>
          <w:rFonts w:hint="eastAsia" w:ascii="宋体" w:hAnsi="宋体" w:eastAsia="宋体" w:cs="宋体"/>
          <w:b/>
          <w:bCs/>
          <w:i w:val="0"/>
          <w:iCs w:val="0"/>
          <w:color w:val="000000"/>
          <w:spacing w:val="0"/>
          <w:w w:val="100"/>
          <w:sz w:val="24"/>
          <w:szCs w:val="24"/>
          <w:vertAlign w:val="baseline"/>
        </w:rPr>
        <w:t>免费试用</w:t>
      </w:r>
      <w:r>
        <w:rPr>
          <w:rFonts w:hint="eastAsia" w:ascii="宋体" w:hAnsi="宋体" w:eastAsia="宋体" w:cs="宋体"/>
          <w:b w:val="0"/>
          <w:bCs w:val="0"/>
          <w:i w:val="0"/>
          <w:iCs w:val="0"/>
          <w:color w:val="000000"/>
          <w:spacing w:val="0"/>
          <w:w w:val="100"/>
          <w:sz w:val="24"/>
          <w:szCs w:val="24"/>
          <w:vertAlign w:val="baseline"/>
        </w:rPr>
        <w:t>：推出7天免费试用活动，让客户直观体验产品价值，提升转化；</w:t>
      </w:r>
    </w:p>
    <w:p w14:paraId="759F156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5. </w:t>
      </w:r>
      <w:r>
        <w:rPr>
          <w:rFonts w:hint="eastAsia" w:ascii="宋体" w:hAnsi="宋体" w:eastAsia="宋体" w:cs="宋体"/>
          <w:b/>
          <w:bCs/>
          <w:i w:val="0"/>
          <w:iCs w:val="0"/>
          <w:color w:val="000000"/>
          <w:spacing w:val="0"/>
          <w:w w:val="100"/>
          <w:sz w:val="24"/>
          <w:szCs w:val="24"/>
          <w:vertAlign w:val="baseline"/>
        </w:rPr>
        <w:t>口碑营销</w:t>
      </w:r>
      <w:r>
        <w:rPr>
          <w:rFonts w:hint="eastAsia" w:ascii="宋体" w:hAnsi="宋体" w:eastAsia="宋体" w:cs="宋体"/>
          <w:b w:val="0"/>
          <w:bCs w:val="0"/>
          <w:i w:val="0"/>
          <w:iCs w:val="0"/>
          <w:color w:val="000000"/>
          <w:spacing w:val="0"/>
          <w:w w:val="100"/>
          <w:sz w:val="24"/>
          <w:szCs w:val="24"/>
          <w:vertAlign w:val="baseline"/>
        </w:rPr>
        <w:t>：推出老客户推荐奖励计划，鼓励转介绍，实现裂变增长。</w:t>
      </w:r>
    </w:p>
    <w:p w14:paraId="0AFBA1A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1"/>
          <w:szCs w:val="21"/>
          <w:vertAlign w:val="baseline"/>
        </w:rPr>
      </w:pPr>
    </w:p>
    <w:p w14:paraId="2E76BAA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75" w:name="_Toc4721"/>
      <w:bookmarkStart w:id="76" w:name="_Toc15391"/>
      <w:r>
        <w:rPr>
          <w:rFonts w:hint="eastAsia" w:ascii="黑体" w:hAnsi="黑体" w:eastAsia="黑体" w:cs="黑体"/>
          <w:b/>
          <w:bCs/>
          <w:i w:val="0"/>
          <w:iCs w:val="0"/>
          <w:color w:val="000000"/>
          <w:spacing w:val="0"/>
          <w:w w:val="100"/>
          <w:sz w:val="36"/>
          <w:szCs w:val="36"/>
          <w:vertAlign w:val="baseline"/>
        </w:rPr>
        <w:t>5.3 产品策略</w:t>
      </w:r>
      <w:bookmarkEnd w:id="75"/>
      <w:bookmarkEnd w:id="76"/>
    </w:p>
    <w:p w14:paraId="7A83506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77" w:name="_Toc27517"/>
      <w:bookmarkStart w:id="78" w:name="_Toc24381"/>
      <w:r>
        <w:rPr>
          <w:rFonts w:hint="eastAsia" w:ascii="黑体" w:hAnsi="黑体" w:eastAsia="黑体" w:cs="黑体"/>
          <w:b/>
          <w:bCs/>
          <w:i w:val="0"/>
          <w:iCs w:val="0"/>
          <w:color w:val="000000"/>
          <w:spacing w:val="0"/>
          <w:w w:val="100"/>
          <w:sz w:val="32"/>
          <w:szCs w:val="32"/>
          <w:vertAlign w:val="baseline"/>
        </w:rPr>
        <w:t>5.3.1 产品定位</w:t>
      </w:r>
      <w:bookmarkEnd w:id="77"/>
      <w:bookmarkEnd w:id="78"/>
    </w:p>
    <w:p w14:paraId="0A52A87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聚焦中小钢材企业来料质检场景，打造“千元级成本、万元级售价、十万元级效果”的轻量化智能质检系统，做中小企业用得起、用得好的智能质检帮手。</w:t>
      </w:r>
    </w:p>
    <w:p w14:paraId="40BD4A2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10EA981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79" w:name="_Toc21748"/>
      <w:bookmarkStart w:id="80" w:name="_Toc18030"/>
      <w:r>
        <w:rPr>
          <w:rFonts w:hint="eastAsia" w:ascii="黑体" w:hAnsi="黑体" w:eastAsia="黑体" w:cs="黑体"/>
          <w:b/>
          <w:bCs/>
          <w:i w:val="0"/>
          <w:iCs w:val="0"/>
          <w:color w:val="000000"/>
          <w:spacing w:val="0"/>
          <w:w w:val="100"/>
          <w:sz w:val="32"/>
          <w:szCs w:val="32"/>
          <w:vertAlign w:val="baseline"/>
        </w:rPr>
        <w:t>5.3.2 产品组合规划</w:t>
      </w:r>
      <w:bookmarkEnd w:id="79"/>
      <w:bookmarkEnd w:id="80"/>
    </w:p>
    <w:p w14:paraId="0AF40A6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硬件产品</w:t>
      </w:r>
      <w:r>
        <w:rPr>
          <w:rFonts w:hint="eastAsia" w:ascii="宋体" w:hAnsi="宋体" w:eastAsia="宋体" w:cs="宋体"/>
          <w:b w:val="0"/>
          <w:bCs w:val="0"/>
          <w:i w:val="0"/>
          <w:iCs w:val="0"/>
          <w:color w:val="000000"/>
          <w:spacing w:val="0"/>
          <w:w w:val="100"/>
          <w:sz w:val="24"/>
          <w:szCs w:val="24"/>
          <w:vertAlign w:val="baseline"/>
        </w:rPr>
        <w:t>：基础版（单相机+4组光源）、标准版（双相机+6组光源）、高级版（带3D模组）；</w:t>
      </w:r>
    </w:p>
    <w:p w14:paraId="4140BE9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软件产品</w:t>
      </w:r>
      <w:r>
        <w:rPr>
          <w:rFonts w:hint="eastAsia" w:ascii="宋体" w:hAnsi="宋体" w:eastAsia="宋体" w:cs="宋体"/>
          <w:b w:val="0"/>
          <w:bCs w:val="0"/>
          <w:i w:val="0"/>
          <w:iCs w:val="0"/>
          <w:color w:val="000000"/>
          <w:spacing w:val="0"/>
          <w:w w:val="100"/>
          <w:sz w:val="24"/>
          <w:szCs w:val="24"/>
          <w:vertAlign w:val="baseline"/>
        </w:rPr>
        <w:t>：基础模块（锈蚀检测）、高级模块（裂纹检测+数据分析）、云端平台（多工位管理）；</w:t>
      </w:r>
    </w:p>
    <w:p w14:paraId="04A4E7A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解决方案</w:t>
      </w:r>
      <w:r>
        <w:rPr>
          <w:rFonts w:hint="eastAsia" w:ascii="宋体" w:hAnsi="宋体" w:eastAsia="宋体" w:cs="宋体"/>
          <w:b w:val="0"/>
          <w:bCs w:val="0"/>
          <w:i w:val="0"/>
          <w:iCs w:val="0"/>
          <w:color w:val="000000"/>
          <w:spacing w:val="0"/>
          <w:w w:val="100"/>
          <w:sz w:val="24"/>
          <w:szCs w:val="24"/>
          <w:vertAlign w:val="baseline"/>
        </w:rPr>
        <w:t>：针对板材、型材、管材等不同品类，推出场景化专属解决方案。</w:t>
      </w:r>
    </w:p>
    <w:p w14:paraId="5C6EC1F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p>
    <w:p w14:paraId="5156440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81" w:name="_Toc12044"/>
      <w:bookmarkStart w:id="82" w:name="_Toc31823"/>
      <w:r>
        <w:rPr>
          <w:rFonts w:hint="eastAsia" w:ascii="黑体" w:hAnsi="黑体" w:eastAsia="黑体" w:cs="黑体"/>
          <w:b/>
          <w:bCs/>
          <w:i w:val="0"/>
          <w:iCs w:val="0"/>
          <w:color w:val="000000"/>
          <w:spacing w:val="0"/>
          <w:w w:val="100"/>
          <w:sz w:val="32"/>
          <w:szCs w:val="32"/>
          <w:vertAlign w:val="baseline"/>
        </w:rPr>
        <w:t>5.3.3 产品迭代规划</w:t>
      </w:r>
      <w:bookmarkEnd w:id="81"/>
      <w:bookmarkEnd w:id="82"/>
    </w:p>
    <w:p w14:paraId="7E821D4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短期</w:t>
      </w:r>
      <w:r>
        <w:rPr>
          <w:rFonts w:hint="eastAsia" w:ascii="宋体" w:hAnsi="宋体" w:eastAsia="宋体" w:cs="宋体"/>
          <w:b w:val="0"/>
          <w:bCs w:val="0"/>
          <w:i w:val="0"/>
          <w:iCs w:val="0"/>
          <w:color w:val="000000"/>
          <w:spacing w:val="0"/>
          <w:w w:val="100"/>
          <w:sz w:val="24"/>
          <w:szCs w:val="24"/>
          <w:vertAlign w:val="baseline"/>
        </w:rPr>
        <w:t>：优化核心算法，提升识别精度；新增型材适配；完善其报表功能；</w:t>
      </w:r>
    </w:p>
    <w:p w14:paraId="492E78D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中期</w:t>
      </w:r>
      <w:r>
        <w:rPr>
          <w:rFonts w:hint="eastAsia" w:ascii="宋体" w:hAnsi="宋体" w:eastAsia="宋体" w:cs="宋体"/>
          <w:b w:val="0"/>
          <w:bCs w:val="0"/>
          <w:i w:val="0"/>
          <w:iCs w:val="0"/>
          <w:color w:val="000000"/>
          <w:spacing w:val="0"/>
          <w:w w:val="100"/>
          <w:sz w:val="24"/>
          <w:szCs w:val="24"/>
          <w:vertAlign w:val="baseline"/>
        </w:rPr>
        <w:t>：开发AI自学习功能；推出管材、不锈钢版本；对接主流ERP系统；</w:t>
      </w:r>
    </w:p>
    <w:p w14:paraId="7A1181C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长期</w:t>
      </w:r>
      <w:r>
        <w:rPr>
          <w:rFonts w:hint="eastAsia" w:ascii="宋体" w:hAnsi="宋体" w:eastAsia="宋体" w:cs="宋体"/>
          <w:b w:val="0"/>
          <w:bCs w:val="0"/>
          <w:i w:val="0"/>
          <w:iCs w:val="0"/>
          <w:color w:val="000000"/>
          <w:spacing w:val="0"/>
          <w:w w:val="100"/>
          <w:sz w:val="24"/>
          <w:szCs w:val="24"/>
          <w:vertAlign w:val="baseline"/>
        </w:rPr>
        <w:t>：融合3D与多光谱技术；构建工业质检大模型；推出多语言国际版。</w:t>
      </w:r>
    </w:p>
    <w:p w14:paraId="31F80B7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p>
    <w:p w14:paraId="0A398F0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662D957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32B4F5F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3DF41DF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83" w:name="_Toc15277"/>
      <w:bookmarkStart w:id="84" w:name="_Toc17870"/>
      <w:r>
        <w:rPr>
          <w:rFonts w:hint="eastAsia" w:ascii="黑体" w:hAnsi="黑体" w:eastAsia="黑体" w:cs="黑体"/>
          <w:b/>
          <w:bCs/>
          <w:i w:val="0"/>
          <w:iCs w:val="0"/>
          <w:color w:val="000000"/>
          <w:spacing w:val="0"/>
          <w:w w:val="100"/>
          <w:sz w:val="36"/>
          <w:szCs w:val="36"/>
          <w:vertAlign w:val="baseline"/>
        </w:rPr>
        <w:t>5.4 营销问题与解决方案</w:t>
      </w:r>
      <w:bookmarkEnd w:id="83"/>
      <w:bookmarkEnd w:id="84"/>
    </w:p>
    <w:p w14:paraId="5E8CC0B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both"/>
        <w:textAlignment w:val="auto"/>
      </w:pPr>
      <w:r>
        <w:drawing>
          <wp:inline distT="0" distB="0" distL="114300" distR="114300">
            <wp:extent cx="5267325" cy="1600200"/>
            <wp:effectExtent l="0" t="0" r="3175" b="0"/>
            <wp:docPr id="38" name="图片 2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descr="IMG_258"/>
                    <pic:cNvPicPr>
                      <a:picLocks noChangeAspect="1"/>
                    </pic:cNvPicPr>
                  </pic:nvPicPr>
                  <pic:blipFill>
                    <a:blip r:embed="rId28"/>
                    <a:stretch>
                      <a:fillRect/>
                    </a:stretch>
                  </pic:blipFill>
                  <pic:spPr>
                    <a:xfrm>
                      <a:off x="0" y="0"/>
                      <a:ext cx="5267325" cy="1600200"/>
                    </a:xfrm>
                    <a:prstGeom prst="rect">
                      <a:avLst/>
                    </a:prstGeom>
                    <a:noFill/>
                    <a:ln w="9525">
                      <a:noFill/>
                    </a:ln>
                  </pic:spPr>
                </pic:pic>
              </a:graphicData>
            </a:graphic>
          </wp:inline>
        </w:drawing>
      </w:r>
    </w:p>
    <w:p w14:paraId="6EAF9F5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firstLine="480" w:firstLineChars="200"/>
        <w:jc w:val="center"/>
        <w:textAlignment w:val="auto"/>
        <w:rPr>
          <w:rFonts w:hint="eastAsia" w:ascii="宋体" w:hAnsi="宋体" w:eastAsia="宋体" w:cs="宋体"/>
          <w:b w:val="0"/>
          <w:bCs w:val="0"/>
          <w:i w:val="0"/>
          <w:iCs w:val="0"/>
          <w:color w:val="000000"/>
          <w:spacing w:val="0"/>
          <w:w w:val="100"/>
          <w:sz w:val="18"/>
          <w:szCs w:val="18"/>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18"/>
          <w:szCs w:val="18"/>
          <w:vertAlign w:val="baseline"/>
        </w:rPr>
        <w:t>图</w:t>
      </w:r>
      <w:r>
        <w:rPr>
          <w:rFonts w:hint="eastAsia" w:ascii="宋体" w:hAnsi="宋体" w:eastAsia="宋体" w:cs="宋体"/>
          <w:b w:val="0"/>
          <w:bCs w:val="0"/>
          <w:i w:val="0"/>
          <w:iCs w:val="0"/>
          <w:color w:val="000000"/>
          <w:spacing w:val="0"/>
          <w:w w:val="100"/>
          <w:sz w:val="18"/>
          <w:szCs w:val="18"/>
          <w:vertAlign w:val="baseline"/>
          <w:lang w:val="en-US" w:eastAsia="zh-CN"/>
        </w:rPr>
        <w:t>5-2营销问题与解决方案图</w:t>
      </w:r>
      <w:r>
        <w:rPr>
          <w:rFonts w:hint="eastAsia" w:ascii="宋体" w:hAnsi="宋体" w:eastAsia="宋体" w:cs="宋体"/>
          <w:b w:val="0"/>
          <w:bCs w:val="0"/>
          <w:i w:val="0"/>
          <w:iCs w:val="0"/>
          <w:color w:val="000000"/>
          <w:spacing w:val="0"/>
          <w:w w:val="100"/>
          <w:sz w:val="18"/>
          <w:szCs w:val="18"/>
          <w:vertAlign w:val="baseline"/>
          <w:lang w:eastAsia="zh-CN"/>
        </w:rPr>
        <w:t>）</w:t>
      </w:r>
    </w:p>
    <w:p w14:paraId="277A925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6D37104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259AD33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6EE8AFF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731302A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2AE9EAA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6CA4AC3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07EAC65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296F4ED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077E12E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357F5A1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77028F6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7C7D891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0884C2D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13C9D543">
      <w:pPr>
        <w:pStyle w:val="12"/>
        <w:keepNext w:val="0"/>
        <w:keepLines w:val="0"/>
        <w:widowControl/>
        <w:numPr>
          <w:ilvl w:val="0"/>
          <w:numId w:val="0"/>
        </w:numPr>
        <w:suppressLineNumbers w:val="0"/>
        <w:spacing w:before="0" w:beforeAutospacing="0" w:after="0" w:afterAutospacing="0"/>
        <w:ind w:right="0" w:rightChars="0"/>
        <w:jc w:val="both"/>
        <w:rPr>
          <w:rFonts w:ascii="黑体" w:hAnsi="宋体" w:eastAsia="黑体" w:cs="黑体"/>
          <w:b/>
          <w:bCs/>
          <w:i w:val="0"/>
          <w:iCs w:val="0"/>
          <w:color w:val="000000"/>
          <w:spacing w:val="0"/>
          <w:w w:val="100"/>
          <w:sz w:val="44"/>
          <w:szCs w:val="44"/>
          <w:vertAlign w:val="baseline"/>
        </w:rPr>
      </w:pPr>
    </w:p>
    <w:p w14:paraId="3D338EA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0" w:firstLineChars="0"/>
        <w:jc w:val="center"/>
        <w:textAlignment w:val="auto"/>
        <w:outlineLvl w:val="0"/>
        <w:rPr>
          <w:sz w:val="44"/>
          <w:szCs w:val="44"/>
        </w:rPr>
      </w:pPr>
      <w:bookmarkStart w:id="85" w:name="_Toc20003"/>
      <w:bookmarkStart w:id="86" w:name="_Toc31541"/>
      <w:r>
        <w:rPr>
          <w:rFonts w:hint="eastAsia" w:ascii="黑体" w:hAnsi="宋体" w:eastAsia="黑体" w:cs="黑体"/>
          <w:b/>
          <w:bCs/>
          <w:i w:val="0"/>
          <w:iCs w:val="0"/>
          <w:color w:val="000000"/>
          <w:spacing w:val="0"/>
          <w:w w:val="100"/>
          <w:sz w:val="44"/>
          <w:szCs w:val="44"/>
          <w:vertAlign w:val="baseline"/>
          <w:lang w:val="en-US" w:eastAsia="zh-CN"/>
        </w:rPr>
        <w:t xml:space="preserve">第六章 </w:t>
      </w:r>
      <w:r>
        <w:rPr>
          <w:rFonts w:ascii="黑体" w:hAnsi="宋体" w:eastAsia="黑体" w:cs="黑体"/>
          <w:b/>
          <w:bCs/>
          <w:i w:val="0"/>
          <w:iCs w:val="0"/>
          <w:color w:val="000000"/>
          <w:spacing w:val="0"/>
          <w:w w:val="100"/>
          <w:sz w:val="44"/>
          <w:szCs w:val="44"/>
          <w:vertAlign w:val="baseline"/>
        </w:rPr>
        <w:t>投资分析</w:t>
      </w:r>
      <w:bookmarkEnd w:id="85"/>
      <w:bookmarkEnd w:id="86"/>
    </w:p>
    <w:p w14:paraId="1D65A06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both"/>
        <w:textAlignment w:val="auto"/>
        <w:outlineLvl w:val="0"/>
        <w:rPr>
          <w:sz w:val="36"/>
          <w:szCs w:val="36"/>
        </w:rPr>
      </w:pPr>
      <w:bookmarkStart w:id="87" w:name="_Toc21513"/>
      <w:bookmarkStart w:id="88" w:name="_Toc10722"/>
      <w:r>
        <w:rPr>
          <w:rFonts w:hint="eastAsia" w:ascii="黑体" w:hAnsi="宋体" w:eastAsia="黑体" w:cs="黑体"/>
          <w:b/>
          <w:bCs/>
          <w:i w:val="0"/>
          <w:iCs w:val="0"/>
          <w:color w:val="000000"/>
          <w:spacing w:val="0"/>
          <w:w w:val="100"/>
          <w:sz w:val="36"/>
          <w:szCs w:val="36"/>
          <w:vertAlign w:val="baseline"/>
        </w:rPr>
        <w:t>6.1 投资可行性分析</w:t>
      </w:r>
      <w:bookmarkEnd w:id="87"/>
      <w:bookmarkEnd w:id="88"/>
    </w:p>
    <w:p w14:paraId="4001806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both"/>
        <w:textAlignment w:val="auto"/>
        <w:outlineLvl w:val="1"/>
        <w:rPr>
          <w:sz w:val="32"/>
          <w:szCs w:val="32"/>
        </w:rPr>
      </w:pPr>
      <w:bookmarkStart w:id="89" w:name="_Toc25470"/>
      <w:bookmarkStart w:id="90" w:name="_Toc6043"/>
      <w:r>
        <w:rPr>
          <w:rFonts w:hint="eastAsia" w:ascii="黑体" w:hAnsi="宋体" w:eastAsia="黑体" w:cs="黑体"/>
          <w:b/>
          <w:bCs/>
          <w:i w:val="0"/>
          <w:iCs w:val="0"/>
          <w:color w:val="000000"/>
          <w:spacing w:val="0"/>
          <w:w w:val="100"/>
          <w:sz w:val="32"/>
          <w:szCs w:val="32"/>
          <w:vertAlign w:val="baseline"/>
        </w:rPr>
        <w:t>6.1.1 产品可行性</w:t>
      </w:r>
      <w:bookmarkEnd w:id="89"/>
      <w:bookmarkEnd w:id="90"/>
    </w:p>
    <w:p w14:paraId="7114E3C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核心算法已完成实验室验证，锈蚀识别准确率≥95%，误检率≤4%；硬件原型机已完成组装测试，成像效果与检测性能达到设计目标。技术路线成熟可行，具备规模化推广条件。产品定位精准，直击中小钢材企业痛点，性价比优势显著，市场接受度高。</w:t>
      </w:r>
    </w:p>
    <w:p w14:paraId="323BEBA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p>
    <w:p w14:paraId="4467606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91" w:name="_Toc32116"/>
      <w:bookmarkStart w:id="92" w:name="_Toc30533"/>
      <w:r>
        <w:rPr>
          <w:rFonts w:hint="eastAsia" w:ascii="黑体" w:hAnsi="宋体" w:eastAsia="黑体" w:cs="黑体"/>
          <w:b/>
          <w:bCs/>
          <w:i w:val="0"/>
          <w:iCs w:val="0"/>
          <w:color w:val="000000"/>
          <w:spacing w:val="0"/>
          <w:w w:val="100"/>
          <w:sz w:val="32"/>
          <w:szCs w:val="32"/>
          <w:vertAlign w:val="baseline"/>
        </w:rPr>
        <w:t>6.1.2 市场可行性</w:t>
      </w:r>
      <w:bookmarkEnd w:id="91"/>
      <w:bookmarkEnd w:id="92"/>
    </w:p>
    <w:p w14:paraId="2016D80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国内钢材智能质检市场规模近60亿元，中小企业市场渗透率不足3%，蓝海空间巨大。政策持续支持制造业数字化转型，多地提供财政补贴，市场需求加速释放。项目产品精准卡位普惠型赛道，竞争格局良好，具备快速增长的市场条件。</w:t>
      </w:r>
    </w:p>
    <w:p w14:paraId="2EDDD37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center"/>
        <w:textAlignment w:val="auto"/>
      </w:pPr>
      <w:r>
        <w:drawing>
          <wp:inline distT="0" distB="0" distL="114300" distR="114300">
            <wp:extent cx="4302125" cy="2209800"/>
            <wp:effectExtent l="0" t="0" r="3175" b="0"/>
            <wp:docPr id="4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6" descr="IMG_256"/>
                    <pic:cNvPicPr>
                      <a:picLocks noChangeAspect="1"/>
                    </pic:cNvPicPr>
                  </pic:nvPicPr>
                  <pic:blipFill>
                    <a:blip r:embed="rId29"/>
                    <a:stretch>
                      <a:fillRect/>
                    </a:stretch>
                  </pic:blipFill>
                  <pic:spPr>
                    <a:xfrm>
                      <a:off x="0" y="0"/>
                      <a:ext cx="4302125" cy="2209800"/>
                    </a:xfrm>
                    <a:prstGeom prst="rect">
                      <a:avLst/>
                    </a:prstGeom>
                    <a:noFill/>
                    <a:ln w="9525">
                      <a:noFill/>
                    </a:ln>
                  </pic:spPr>
                </pic:pic>
              </a:graphicData>
            </a:graphic>
          </wp:inline>
        </w:drawing>
      </w:r>
    </w:p>
    <w:p w14:paraId="34CB33A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图6-1钢材质检市场图</w:t>
      </w:r>
      <w:r>
        <w:rPr>
          <w:rFonts w:hint="eastAsia" w:ascii="宋体" w:hAnsi="宋体" w:eastAsia="宋体" w:cs="宋体"/>
          <w:sz w:val="18"/>
          <w:szCs w:val="18"/>
          <w:lang w:eastAsia="zh-CN"/>
        </w:rPr>
        <w:t>）</w:t>
      </w:r>
    </w:p>
    <w:p w14:paraId="625335F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宋体" w:eastAsia="黑体" w:cs="黑体"/>
          <w:b/>
          <w:bCs/>
          <w:i w:val="0"/>
          <w:iCs w:val="0"/>
          <w:color w:val="000000"/>
          <w:spacing w:val="0"/>
          <w:w w:val="100"/>
          <w:sz w:val="36"/>
          <w:szCs w:val="36"/>
          <w:vertAlign w:val="baseline"/>
        </w:rPr>
      </w:pPr>
    </w:p>
    <w:p w14:paraId="08FDC52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宋体" w:eastAsia="黑体" w:cs="黑体"/>
          <w:b/>
          <w:bCs/>
          <w:i w:val="0"/>
          <w:iCs w:val="0"/>
          <w:color w:val="000000"/>
          <w:spacing w:val="0"/>
          <w:w w:val="100"/>
          <w:sz w:val="36"/>
          <w:szCs w:val="36"/>
          <w:vertAlign w:val="baseline"/>
        </w:rPr>
      </w:pPr>
    </w:p>
    <w:p w14:paraId="1BBC546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sz w:val="36"/>
          <w:szCs w:val="36"/>
        </w:rPr>
      </w:pPr>
      <w:bookmarkStart w:id="93" w:name="_Toc21541"/>
      <w:bookmarkStart w:id="94" w:name="_Toc6803"/>
      <w:r>
        <w:rPr>
          <w:rFonts w:hint="eastAsia" w:ascii="黑体" w:hAnsi="宋体" w:eastAsia="黑体" w:cs="黑体"/>
          <w:b/>
          <w:bCs/>
          <w:i w:val="0"/>
          <w:iCs w:val="0"/>
          <w:color w:val="000000"/>
          <w:spacing w:val="0"/>
          <w:w w:val="100"/>
          <w:sz w:val="36"/>
          <w:szCs w:val="36"/>
          <w:vertAlign w:val="baseline"/>
        </w:rPr>
        <w:t>6.2 投资策略</w:t>
      </w:r>
      <w:bookmarkEnd w:id="93"/>
      <w:bookmarkEnd w:id="94"/>
    </w:p>
    <w:p w14:paraId="477FB83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sz w:val="32"/>
          <w:szCs w:val="32"/>
        </w:rPr>
      </w:pPr>
      <w:bookmarkStart w:id="95" w:name="_Toc25977"/>
      <w:bookmarkStart w:id="96" w:name="_Toc14215"/>
      <w:r>
        <w:rPr>
          <w:rFonts w:hint="eastAsia" w:ascii="黑体" w:hAnsi="宋体" w:eastAsia="黑体" w:cs="黑体"/>
          <w:b/>
          <w:bCs/>
          <w:i w:val="0"/>
          <w:iCs w:val="0"/>
          <w:color w:val="000000"/>
          <w:spacing w:val="0"/>
          <w:w w:val="100"/>
          <w:sz w:val="32"/>
          <w:szCs w:val="32"/>
          <w:vertAlign w:val="baseline"/>
        </w:rPr>
        <w:t>6.2.1投资阶段规划</w:t>
      </w:r>
      <w:bookmarkEnd w:id="95"/>
      <w:bookmarkEnd w:id="96"/>
    </w:p>
    <w:p w14:paraId="650C50A3">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rPr>
        <w:t>种子期（1-12个月）</w:t>
      </w:r>
      <w:r>
        <w:rPr>
          <w:rFonts w:hint="eastAsia" w:ascii="宋体" w:hAnsi="宋体" w:eastAsia="宋体" w:cs="宋体"/>
          <w:b w:val="0"/>
          <w:bCs w:val="0"/>
          <w:i w:val="0"/>
          <w:iCs w:val="0"/>
          <w:color w:val="000000"/>
          <w:spacing w:val="0"/>
          <w:w w:val="100"/>
          <w:sz w:val="24"/>
          <w:szCs w:val="24"/>
          <w:vertAlign w:val="baseline"/>
        </w:rPr>
        <w:t>：投资5万元，用于算法研发、原型机制作、试点验证，资金来源为团队自筹、政府补贴、创新创业大赛奖金；</w:t>
      </w:r>
    </w:p>
    <w:p w14:paraId="3AFB152E">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0" w:right="0" w:rightChars="0" w:firstLine="0" w:firstLine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rPr>
        <w:t>成长期（13-36个月）</w:t>
      </w:r>
      <w:r>
        <w:rPr>
          <w:rFonts w:hint="eastAsia" w:ascii="宋体" w:hAnsi="宋体" w:eastAsia="宋体" w:cs="宋体"/>
          <w:b w:val="0"/>
          <w:bCs w:val="0"/>
          <w:i w:val="0"/>
          <w:iCs w:val="0"/>
          <w:color w:val="000000"/>
          <w:spacing w:val="0"/>
          <w:w w:val="100"/>
          <w:sz w:val="24"/>
          <w:szCs w:val="24"/>
          <w:vertAlign w:val="baseline"/>
        </w:rPr>
        <w:t>：投资20万元，用于产能扩大、渠道建设、市场推广、技术升级，资金来源为风险投资、银行贷款、盈利再投资；</w:t>
      </w:r>
    </w:p>
    <w:p w14:paraId="3F40C92D">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0" w:right="0" w:rightChars="0" w:firstLine="0" w:firstLineChars="0"/>
        <w:jc w:val="both"/>
        <w:textAlignment w:val="auto"/>
      </w:pPr>
      <w:r>
        <w:rPr>
          <w:rFonts w:hint="eastAsia" w:ascii="宋体" w:hAnsi="宋体" w:eastAsia="宋体" w:cs="宋体"/>
          <w:b/>
          <w:bCs/>
          <w:i w:val="0"/>
          <w:iCs w:val="0"/>
          <w:color w:val="000000"/>
          <w:spacing w:val="0"/>
          <w:w w:val="100"/>
          <w:sz w:val="24"/>
          <w:szCs w:val="24"/>
          <w:vertAlign w:val="baseline"/>
        </w:rPr>
        <w:t>成熟期（37个月及以后）</w:t>
      </w:r>
      <w:r>
        <w:rPr>
          <w:rFonts w:hint="eastAsia" w:ascii="宋体" w:hAnsi="宋体" w:eastAsia="宋体" w:cs="宋体"/>
          <w:b w:val="0"/>
          <w:bCs w:val="0"/>
          <w:i w:val="0"/>
          <w:iCs w:val="0"/>
          <w:color w:val="000000"/>
          <w:spacing w:val="0"/>
          <w:w w:val="100"/>
          <w:sz w:val="24"/>
          <w:szCs w:val="24"/>
          <w:vertAlign w:val="baseline"/>
        </w:rPr>
        <w:t>：投资50万元，用于品类拓展、生态建设、市场扩张，资金来源为私募股权、企业盈利再投资。</w:t>
      </w:r>
    </w:p>
    <w:p w14:paraId="13D24B6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center"/>
        <w:textAlignment w:val="auto"/>
      </w:pPr>
      <w:r>
        <w:drawing>
          <wp:inline distT="0" distB="0" distL="114300" distR="114300">
            <wp:extent cx="4031615" cy="2085340"/>
            <wp:effectExtent l="0" t="0" r="6985" b="10160"/>
            <wp:docPr id="45" name="图片 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7" descr="IMG_257"/>
                    <pic:cNvPicPr>
                      <a:picLocks noChangeAspect="1"/>
                    </pic:cNvPicPr>
                  </pic:nvPicPr>
                  <pic:blipFill>
                    <a:blip r:embed="rId30"/>
                    <a:stretch>
                      <a:fillRect/>
                    </a:stretch>
                  </pic:blipFill>
                  <pic:spPr>
                    <a:xfrm>
                      <a:off x="0" y="0"/>
                      <a:ext cx="4031615" cy="2085340"/>
                    </a:xfrm>
                    <a:prstGeom prst="rect">
                      <a:avLst/>
                    </a:prstGeom>
                    <a:noFill/>
                    <a:ln w="9525">
                      <a:noFill/>
                    </a:ln>
                  </pic:spPr>
                </pic:pic>
              </a:graphicData>
            </a:graphic>
          </wp:inline>
        </w:drawing>
      </w:r>
    </w:p>
    <w:p w14:paraId="5EEC69E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图6-2项目投资规划图</w:t>
      </w:r>
      <w:r>
        <w:rPr>
          <w:rFonts w:hint="eastAsia" w:ascii="宋体" w:hAnsi="宋体" w:eastAsia="宋体" w:cs="宋体"/>
          <w:sz w:val="18"/>
          <w:szCs w:val="18"/>
          <w:lang w:eastAsia="zh-CN"/>
        </w:rPr>
        <w:t>）</w:t>
      </w:r>
    </w:p>
    <w:p w14:paraId="2B61152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97" w:name="_Toc6002"/>
      <w:bookmarkStart w:id="98" w:name="_Toc13132"/>
      <w:r>
        <w:rPr>
          <w:rFonts w:hint="eastAsia" w:ascii="黑体" w:hAnsi="宋体" w:eastAsia="黑体" w:cs="黑体"/>
          <w:b/>
          <w:bCs/>
          <w:i w:val="0"/>
          <w:iCs w:val="0"/>
          <w:color w:val="000000"/>
          <w:spacing w:val="0"/>
          <w:w w:val="100"/>
          <w:sz w:val="32"/>
          <w:szCs w:val="32"/>
          <w:vertAlign w:val="baseline"/>
        </w:rPr>
        <w:t>6.2.2 资金使用规划</w:t>
      </w:r>
      <w:bookmarkEnd w:id="97"/>
      <w:bookmarkEnd w:id="98"/>
    </w:p>
    <w:p w14:paraId="366EEFB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both"/>
        <w:textAlignment w:val="auto"/>
      </w:pPr>
      <w:r>
        <w:drawing>
          <wp:inline distT="0" distB="0" distL="114300" distR="114300">
            <wp:extent cx="5076825" cy="1991995"/>
            <wp:effectExtent l="0" t="0" r="3175" b="1905"/>
            <wp:docPr id="43" name="图片 2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descr="IMG_258"/>
                    <pic:cNvPicPr>
                      <a:picLocks noChangeAspect="1"/>
                    </pic:cNvPicPr>
                  </pic:nvPicPr>
                  <pic:blipFill>
                    <a:blip r:embed="rId31"/>
                    <a:stretch>
                      <a:fillRect/>
                    </a:stretch>
                  </pic:blipFill>
                  <pic:spPr>
                    <a:xfrm>
                      <a:off x="0" y="0"/>
                      <a:ext cx="5076825" cy="1991995"/>
                    </a:xfrm>
                    <a:prstGeom prst="rect">
                      <a:avLst/>
                    </a:prstGeom>
                    <a:noFill/>
                    <a:ln w="9525">
                      <a:noFill/>
                    </a:ln>
                  </pic:spPr>
                </pic:pic>
              </a:graphicData>
            </a:graphic>
          </wp:inline>
        </w:drawing>
      </w:r>
    </w:p>
    <w:p w14:paraId="7658009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图6-3资金使用规划图</w:t>
      </w:r>
      <w:r>
        <w:rPr>
          <w:rFonts w:hint="eastAsia" w:ascii="宋体" w:hAnsi="宋体" w:eastAsia="宋体" w:cs="宋体"/>
          <w:sz w:val="18"/>
          <w:szCs w:val="18"/>
          <w:lang w:eastAsia="zh-CN"/>
        </w:rPr>
        <w:t>）</w:t>
      </w:r>
    </w:p>
    <w:p w14:paraId="66AA964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sz w:val="32"/>
          <w:szCs w:val="32"/>
        </w:rPr>
      </w:pPr>
      <w:bookmarkStart w:id="99" w:name="_Toc6005"/>
      <w:bookmarkStart w:id="100" w:name="_Toc22576"/>
      <w:r>
        <w:rPr>
          <w:rFonts w:hint="eastAsia" w:ascii="黑体" w:hAnsi="宋体" w:eastAsia="黑体" w:cs="黑体"/>
          <w:b/>
          <w:bCs/>
          <w:i w:val="0"/>
          <w:iCs w:val="0"/>
          <w:color w:val="000000"/>
          <w:spacing w:val="0"/>
          <w:w w:val="100"/>
          <w:sz w:val="32"/>
          <w:szCs w:val="32"/>
          <w:vertAlign w:val="baseline"/>
        </w:rPr>
        <w:t>6.2.3 投资回报预期</w:t>
      </w:r>
      <w:bookmarkEnd w:id="99"/>
      <w:bookmarkEnd w:id="100"/>
    </w:p>
    <w:p w14:paraId="5176FD47">
      <w:pPr>
        <w:pStyle w:val="12"/>
        <w:keepNext w:val="0"/>
        <w:keepLines w:val="0"/>
        <w:widowControl/>
        <w:numPr>
          <w:ilvl w:val="0"/>
          <w:numId w:val="0"/>
        </w:numPr>
        <w:suppressLineNumbers w:val="0"/>
        <w:spacing w:before="0" w:beforeAutospacing="0" w:after="0" w:afterAutospacing="0"/>
        <w:ind w:left="360" w:leftChars="0" w:right="0" w:rightChars="0"/>
        <w:jc w:val="both"/>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种子期</w:t>
      </w:r>
      <w:r>
        <w:rPr>
          <w:rFonts w:hint="eastAsia" w:ascii="宋体" w:hAnsi="宋体" w:eastAsia="宋体" w:cs="宋体"/>
          <w:b w:val="0"/>
          <w:bCs w:val="0"/>
          <w:i w:val="0"/>
          <w:iCs w:val="0"/>
          <w:color w:val="000000"/>
          <w:spacing w:val="0"/>
          <w:w w:val="100"/>
          <w:sz w:val="24"/>
          <w:szCs w:val="24"/>
          <w:vertAlign w:val="baseline"/>
        </w:rPr>
        <w:t>：实现净利润5.2万元，初步验证商业模式与盈利能力；</w:t>
      </w:r>
    </w:p>
    <w:p w14:paraId="3B48E78D">
      <w:pPr>
        <w:pStyle w:val="12"/>
        <w:keepNext w:val="0"/>
        <w:keepLines w:val="0"/>
        <w:widowControl/>
        <w:numPr>
          <w:ilvl w:val="0"/>
          <w:numId w:val="0"/>
        </w:numPr>
        <w:suppressLineNumbers w:val="0"/>
        <w:spacing w:before="0" w:beforeAutospacing="0" w:after="0" w:afterAutospacing="0"/>
        <w:ind w:left="360" w:leftChars="0" w:right="0" w:rightChars="0"/>
        <w:jc w:val="both"/>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成长期</w:t>
      </w:r>
      <w:r>
        <w:rPr>
          <w:rFonts w:hint="eastAsia" w:ascii="宋体" w:hAnsi="宋体" w:eastAsia="宋体" w:cs="宋体"/>
          <w:b w:val="0"/>
          <w:bCs w:val="0"/>
          <w:i w:val="0"/>
          <w:iCs w:val="0"/>
          <w:color w:val="000000"/>
          <w:spacing w:val="0"/>
          <w:w w:val="100"/>
          <w:sz w:val="24"/>
          <w:szCs w:val="24"/>
          <w:vertAlign w:val="baseline"/>
        </w:rPr>
        <w:t>：累计净利润超80万元，实现规模化盈利，展现强劲增长动力；</w:t>
      </w:r>
    </w:p>
    <w:p w14:paraId="0D902D08">
      <w:pPr>
        <w:pStyle w:val="12"/>
        <w:keepNext w:val="0"/>
        <w:keepLines w:val="0"/>
        <w:widowControl/>
        <w:numPr>
          <w:ilvl w:val="0"/>
          <w:numId w:val="0"/>
        </w:numPr>
        <w:suppressLineNumbers w:val="0"/>
        <w:spacing w:before="0" w:beforeAutospacing="0" w:after="0" w:afterAutospacing="0"/>
        <w:ind w:left="360" w:leftChars="0" w:right="0" w:rightChars="0"/>
        <w:jc w:val="both"/>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成熟期</w:t>
      </w:r>
      <w:r>
        <w:rPr>
          <w:rFonts w:hint="eastAsia" w:ascii="宋体" w:hAnsi="宋体" w:eastAsia="宋体" w:cs="宋体"/>
          <w:b w:val="0"/>
          <w:bCs w:val="0"/>
          <w:i w:val="0"/>
          <w:iCs w:val="0"/>
          <w:color w:val="000000"/>
          <w:spacing w:val="0"/>
          <w:w w:val="100"/>
          <w:sz w:val="24"/>
          <w:szCs w:val="24"/>
          <w:vertAlign w:val="baseline"/>
        </w:rPr>
        <w:t>：年净利润超110万元，进入稳定盈利阶段，盈利能力持续释放。</w:t>
      </w:r>
    </w:p>
    <w:p w14:paraId="3A927D40">
      <w:pPr>
        <w:pStyle w:val="12"/>
        <w:keepNext w:val="0"/>
        <w:keepLines w:val="0"/>
        <w:widowControl/>
        <w:suppressLineNumbers w:val="0"/>
        <w:spacing w:before="0" w:beforeAutospacing="0" w:after="0" w:afterAutospacing="0"/>
        <w:ind w:left="0" w:right="0"/>
        <w:jc w:val="center"/>
      </w:pPr>
      <w:r>
        <w:drawing>
          <wp:inline distT="0" distB="0" distL="114300" distR="114300">
            <wp:extent cx="3379470" cy="2988310"/>
            <wp:effectExtent l="0" t="0" r="11430" b="8890"/>
            <wp:docPr id="72"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6" descr="IMG_256"/>
                    <pic:cNvPicPr>
                      <a:picLocks noChangeAspect="1"/>
                    </pic:cNvPicPr>
                  </pic:nvPicPr>
                  <pic:blipFill>
                    <a:blip r:embed="rId32"/>
                    <a:stretch>
                      <a:fillRect/>
                    </a:stretch>
                  </pic:blipFill>
                  <pic:spPr>
                    <a:xfrm>
                      <a:off x="0" y="0"/>
                      <a:ext cx="3379470" cy="2988310"/>
                    </a:xfrm>
                    <a:prstGeom prst="rect">
                      <a:avLst/>
                    </a:prstGeom>
                    <a:noFill/>
                    <a:ln w="9525">
                      <a:noFill/>
                    </a:ln>
                  </pic:spPr>
                </pic:pic>
              </a:graphicData>
            </a:graphic>
          </wp:inline>
        </w:drawing>
      </w:r>
    </w:p>
    <w:p w14:paraId="5DD8EED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center"/>
        <w:textAlignment w:val="auto"/>
      </w:pPr>
      <w:r>
        <w:rPr>
          <w:rFonts w:hint="eastAsia" w:ascii="黑体" w:hAnsi="宋体" w:eastAsia="黑体" w:cs="黑体"/>
          <w:b/>
          <w:bCs/>
          <w:i w:val="0"/>
          <w:iCs w:val="0"/>
          <w:color w:val="000000"/>
          <w:spacing w:val="0"/>
          <w:w w:val="100"/>
          <w:sz w:val="28"/>
          <w:szCs w:val="28"/>
          <w:vertAlign w:val="baseline"/>
          <w:lang w:val="en-US"/>
        </w:rPr>
        <w:t>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图6-4投资回报预期图</w:t>
      </w:r>
      <w:r>
        <w:rPr>
          <w:rFonts w:hint="eastAsia" w:ascii="宋体" w:hAnsi="宋体" w:eastAsia="宋体" w:cs="宋体"/>
          <w:sz w:val="18"/>
          <w:szCs w:val="18"/>
          <w:lang w:eastAsia="zh-CN"/>
        </w:rPr>
        <w:t>）</w:t>
      </w:r>
    </w:p>
    <w:p w14:paraId="777FD39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p>
    <w:p w14:paraId="1019339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sz w:val="36"/>
          <w:szCs w:val="36"/>
        </w:rPr>
      </w:pPr>
      <w:bookmarkStart w:id="101" w:name="_Toc14436"/>
      <w:bookmarkStart w:id="102" w:name="_Toc13953"/>
      <w:r>
        <w:rPr>
          <w:rFonts w:hint="eastAsia" w:ascii="黑体" w:hAnsi="宋体" w:eastAsia="黑体" w:cs="黑体"/>
          <w:b/>
          <w:bCs/>
          <w:i w:val="0"/>
          <w:iCs w:val="0"/>
          <w:color w:val="000000"/>
          <w:spacing w:val="0"/>
          <w:w w:val="100"/>
          <w:sz w:val="36"/>
          <w:szCs w:val="36"/>
          <w:vertAlign w:val="baseline"/>
        </w:rPr>
        <w:t>6.3 市场风险</w:t>
      </w:r>
      <w:bookmarkEnd w:id="101"/>
      <w:bookmarkEnd w:id="102"/>
    </w:p>
    <w:p w14:paraId="70B014C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sz w:val="32"/>
          <w:szCs w:val="32"/>
        </w:rPr>
      </w:pPr>
      <w:bookmarkStart w:id="103" w:name="_Toc9386"/>
      <w:bookmarkStart w:id="104" w:name="_Toc6514"/>
      <w:r>
        <w:rPr>
          <w:rFonts w:hint="eastAsia" w:ascii="黑体" w:hAnsi="宋体" w:eastAsia="黑体" w:cs="黑体"/>
          <w:b/>
          <w:bCs/>
          <w:i w:val="0"/>
          <w:iCs w:val="0"/>
          <w:color w:val="000000"/>
          <w:spacing w:val="0"/>
          <w:w w:val="100"/>
          <w:sz w:val="32"/>
          <w:szCs w:val="32"/>
          <w:vertAlign w:val="baseline"/>
        </w:rPr>
        <w:t>6.3.1 技术迭代风险</w:t>
      </w:r>
      <w:bookmarkEnd w:id="103"/>
      <w:bookmarkEnd w:id="104"/>
    </w:p>
    <w:p w14:paraId="2ABF8A0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应对：持续将销售收入15%-20%投入研发，建立技术跟踪机制，与高校实验室合作，保持技术领先；每6-12个月迭代产品，快速响应市场需求。</w:t>
      </w:r>
    </w:p>
    <w:p w14:paraId="6CDC25C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1977D12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05" w:name="_Toc7331"/>
      <w:bookmarkStart w:id="106" w:name="_Toc2128"/>
      <w:r>
        <w:rPr>
          <w:rFonts w:hint="eastAsia" w:ascii="黑体" w:hAnsi="宋体" w:eastAsia="黑体" w:cs="黑体"/>
          <w:b/>
          <w:bCs/>
          <w:i w:val="0"/>
          <w:iCs w:val="0"/>
          <w:color w:val="000000"/>
          <w:spacing w:val="0"/>
          <w:w w:val="100"/>
          <w:sz w:val="32"/>
          <w:szCs w:val="32"/>
          <w:vertAlign w:val="baseline"/>
        </w:rPr>
        <w:t>6.3.2 市场竞争风险</w:t>
      </w:r>
      <w:bookmarkEnd w:id="105"/>
      <w:bookmarkEnd w:id="106"/>
    </w:p>
    <w:p w14:paraId="7E5D7FE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应对：强化差异化竞争，深耕细分场景，打造成本与服务优势；建立品牌壁垒，积累标杆案例与口碑；拓展新品类与新场景，分散竞争风险。</w:t>
      </w:r>
    </w:p>
    <w:p w14:paraId="27C9A10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09A4475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07" w:name="_Toc5130"/>
      <w:bookmarkStart w:id="108" w:name="_Toc11477"/>
      <w:r>
        <w:rPr>
          <w:rFonts w:hint="eastAsia" w:ascii="黑体" w:hAnsi="宋体" w:eastAsia="黑体" w:cs="黑体"/>
          <w:b/>
          <w:bCs/>
          <w:i w:val="0"/>
          <w:iCs w:val="0"/>
          <w:color w:val="000000"/>
          <w:spacing w:val="0"/>
          <w:w w:val="100"/>
          <w:sz w:val="32"/>
          <w:szCs w:val="32"/>
          <w:vertAlign w:val="baseline"/>
        </w:rPr>
        <w:t>6.3.3 政策变动风险</w:t>
      </w:r>
      <w:bookmarkEnd w:id="107"/>
      <w:bookmarkEnd w:id="108"/>
    </w:p>
    <w:p w14:paraId="0D5C0E8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应对：密切跟踪政策动态，合规经营，积极参与政府项目；降低对补贴的依赖，提升产品自身价值与市场竞争力。</w:t>
      </w:r>
    </w:p>
    <w:p w14:paraId="3E1F17D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18C0D54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09" w:name="_Toc857"/>
      <w:bookmarkStart w:id="110" w:name="_Toc3789"/>
      <w:r>
        <w:rPr>
          <w:rFonts w:hint="eastAsia" w:ascii="黑体" w:hAnsi="宋体" w:eastAsia="黑体" w:cs="黑体"/>
          <w:b/>
          <w:bCs/>
          <w:i w:val="0"/>
          <w:iCs w:val="0"/>
          <w:color w:val="000000"/>
          <w:spacing w:val="0"/>
          <w:w w:val="100"/>
          <w:sz w:val="32"/>
          <w:szCs w:val="32"/>
          <w:vertAlign w:val="baseline"/>
        </w:rPr>
        <w:t>6.3.3 客户需求变化风险</w:t>
      </w:r>
      <w:bookmarkEnd w:id="109"/>
      <w:bookmarkEnd w:id="110"/>
    </w:p>
    <w:p w14:paraId="72A1F9D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应对：定期调研客户需求，建立快速响应机制；采用模块化产品架构，可快速配置适配；持续拓展功能，满足客户日益增长的需求。</w:t>
      </w:r>
    </w:p>
    <w:p w14:paraId="6E20793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lang w:val="en-US"/>
        </w:rPr>
        <w:t> </w:t>
      </w:r>
    </w:p>
    <w:p w14:paraId="6D08BEB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 xml:space="preserve">  </w:t>
      </w:r>
      <w:r>
        <w:rPr>
          <w:rFonts w:hint="eastAsia" w:ascii="宋体" w:hAnsi="宋体" w:eastAsia="宋体" w:cs="宋体"/>
          <w:b w:val="0"/>
          <w:bCs w:val="0"/>
          <w:i w:val="0"/>
          <w:iCs w:val="0"/>
          <w:color w:val="000000"/>
          <w:spacing w:val="0"/>
          <w:w w:val="100"/>
          <w:sz w:val="44"/>
          <w:szCs w:val="44"/>
          <w:vertAlign w:val="baseline"/>
        </w:rPr>
        <w:t xml:space="preserve">       </w:t>
      </w:r>
    </w:p>
    <w:p w14:paraId="4274A36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pPr>
      <w:r>
        <w:rPr>
          <w:rFonts w:hint="eastAsia" w:ascii="黑体" w:hAnsi="宋体" w:eastAsia="黑体" w:cs="黑体"/>
          <w:b/>
          <w:bCs/>
          <w:i w:val="0"/>
          <w:iCs w:val="0"/>
          <w:color w:val="000000"/>
          <w:spacing w:val="0"/>
          <w:w w:val="100"/>
          <w:sz w:val="28"/>
          <w:szCs w:val="28"/>
          <w:vertAlign w:val="baseline"/>
          <w:lang w:val="en-US"/>
        </w:rPr>
        <w:t> </w:t>
      </w:r>
    </w:p>
    <w:p w14:paraId="3664F12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723" w:firstLineChars="200"/>
        <w:jc w:val="left"/>
        <w:textAlignment w:val="auto"/>
      </w:pPr>
      <w:r>
        <w:rPr>
          <w:rFonts w:hint="eastAsia" w:ascii="黑体" w:hAnsi="宋体" w:eastAsia="黑体" w:cs="黑体"/>
          <w:b/>
          <w:bCs/>
          <w:i w:val="0"/>
          <w:iCs w:val="0"/>
          <w:color w:val="000000"/>
          <w:spacing w:val="0"/>
          <w:w w:val="100"/>
          <w:sz w:val="36"/>
          <w:szCs w:val="36"/>
          <w:vertAlign w:val="baseline"/>
          <w:lang w:val="en-US"/>
        </w:rPr>
        <w:t> </w:t>
      </w:r>
    </w:p>
    <w:p w14:paraId="40D1288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pPr>
      <w:r>
        <w:rPr>
          <w:rFonts w:hint="eastAsia" w:ascii="黑体" w:hAnsi="宋体" w:eastAsia="黑体" w:cs="黑体"/>
          <w:b/>
          <w:bCs/>
          <w:i w:val="0"/>
          <w:iCs w:val="0"/>
          <w:color w:val="000000"/>
          <w:spacing w:val="0"/>
          <w:w w:val="100"/>
          <w:sz w:val="28"/>
          <w:szCs w:val="28"/>
          <w:vertAlign w:val="baseline"/>
          <w:lang w:val="en-US"/>
        </w:rPr>
        <w:t> </w:t>
      </w:r>
    </w:p>
    <w:p w14:paraId="0634D0B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pPr>
      <w:r>
        <w:rPr>
          <w:rFonts w:hint="eastAsia" w:ascii="黑体" w:hAnsi="宋体" w:eastAsia="黑体" w:cs="黑体"/>
          <w:b/>
          <w:bCs/>
          <w:i w:val="0"/>
          <w:iCs w:val="0"/>
          <w:color w:val="000000"/>
          <w:spacing w:val="0"/>
          <w:w w:val="100"/>
          <w:sz w:val="28"/>
          <w:szCs w:val="28"/>
          <w:vertAlign w:val="baseline"/>
          <w:lang w:val="en-US"/>
        </w:rPr>
        <w:t> </w:t>
      </w:r>
    </w:p>
    <w:p w14:paraId="52DE02D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rPr>
          <w:rFonts w:hint="eastAsia" w:ascii="黑体" w:hAnsi="宋体" w:eastAsia="黑体" w:cs="黑体"/>
          <w:b/>
          <w:bCs/>
          <w:i w:val="0"/>
          <w:iCs w:val="0"/>
          <w:color w:val="000000"/>
          <w:spacing w:val="0"/>
          <w:w w:val="100"/>
          <w:sz w:val="28"/>
          <w:szCs w:val="28"/>
          <w:vertAlign w:val="baseline"/>
          <w:lang w:val="en-US"/>
        </w:rPr>
      </w:pPr>
      <w:r>
        <w:rPr>
          <w:rFonts w:hint="eastAsia" w:ascii="黑体" w:hAnsi="宋体" w:eastAsia="黑体" w:cs="黑体"/>
          <w:b/>
          <w:bCs/>
          <w:i w:val="0"/>
          <w:iCs w:val="0"/>
          <w:color w:val="000000"/>
          <w:spacing w:val="0"/>
          <w:w w:val="100"/>
          <w:sz w:val="28"/>
          <w:szCs w:val="28"/>
          <w:vertAlign w:val="baseline"/>
          <w:lang w:val="en-US"/>
        </w:rPr>
        <w:t> </w:t>
      </w:r>
    </w:p>
    <w:p w14:paraId="741A04B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rPr>
          <w:rFonts w:hint="eastAsia" w:ascii="黑体" w:hAnsi="宋体" w:eastAsia="黑体" w:cs="黑体"/>
          <w:b/>
          <w:bCs/>
          <w:i w:val="0"/>
          <w:iCs w:val="0"/>
          <w:color w:val="000000"/>
          <w:spacing w:val="0"/>
          <w:w w:val="100"/>
          <w:sz w:val="28"/>
          <w:szCs w:val="28"/>
          <w:vertAlign w:val="baseline"/>
          <w:lang w:val="en-US"/>
        </w:rPr>
      </w:pPr>
    </w:p>
    <w:p w14:paraId="073A52F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rPr>
          <w:rFonts w:hint="eastAsia" w:ascii="黑体" w:hAnsi="宋体" w:eastAsia="黑体" w:cs="黑体"/>
          <w:b/>
          <w:bCs/>
          <w:i w:val="0"/>
          <w:iCs w:val="0"/>
          <w:color w:val="000000"/>
          <w:spacing w:val="0"/>
          <w:w w:val="100"/>
          <w:sz w:val="28"/>
          <w:szCs w:val="28"/>
          <w:vertAlign w:val="baseline"/>
          <w:lang w:val="en-US"/>
        </w:rPr>
      </w:pPr>
    </w:p>
    <w:p w14:paraId="756D632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rPr>
          <w:rFonts w:hint="eastAsia" w:ascii="黑体" w:hAnsi="宋体" w:eastAsia="黑体" w:cs="黑体"/>
          <w:b/>
          <w:bCs/>
          <w:i w:val="0"/>
          <w:iCs w:val="0"/>
          <w:color w:val="000000"/>
          <w:spacing w:val="0"/>
          <w:w w:val="100"/>
          <w:sz w:val="28"/>
          <w:szCs w:val="28"/>
          <w:vertAlign w:val="baseline"/>
          <w:lang w:val="en-US"/>
        </w:rPr>
      </w:pPr>
    </w:p>
    <w:p w14:paraId="2AF6BF9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宋体" w:eastAsia="黑体" w:cs="黑体"/>
          <w:b/>
          <w:bCs/>
          <w:i w:val="0"/>
          <w:iCs w:val="0"/>
          <w:color w:val="000000"/>
          <w:spacing w:val="0"/>
          <w:w w:val="100"/>
          <w:sz w:val="28"/>
          <w:szCs w:val="28"/>
          <w:vertAlign w:val="baseline"/>
          <w:lang w:val="en-US"/>
        </w:rPr>
      </w:pPr>
    </w:p>
    <w:p w14:paraId="4ACE5C1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宋体" w:eastAsia="黑体" w:cs="黑体"/>
          <w:b/>
          <w:bCs/>
          <w:i w:val="0"/>
          <w:iCs w:val="0"/>
          <w:color w:val="000000"/>
          <w:spacing w:val="0"/>
          <w:w w:val="100"/>
          <w:sz w:val="28"/>
          <w:szCs w:val="28"/>
          <w:vertAlign w:val="baseline"/>
          <w:lang w:val="en-US"/>
        </w:rPr>
      </w:pPr>
    </w:p>
    <w:p w14:paraId="6FE7A78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0" w:firstLineChars="0"/>
        <w:jc w:val="center"/>
        <w:textAlignment w:val="auto"/>
        <w:outlineLvl w:val="0"/>
        <w:rPr>
          <w:b/>
          <w:bCs/>
          <w:sz w:val="44"/>
          <w:szCs w:val="44"/>
        </w:rPr>
      </w:pPr>
      <w:bookmarkStart w:id="111" w:name="_Toc11587"/>
      <w:bookmarkStart w:id="112" w:name="_Toc16080"/>
      <w:r>
        <w:rPr>
          <w:rFonts w:hint="eastAsia" w:ascii="黑体" w:hAnsi="宋体" w:eastAsia="黑体" w:cs="黑体"/>
          <w:b/>
          <w:bCs/>
          <w:i w:val="0"/>
          <w:iCs w:val="0"/>
          <w:color w:val="000000"/>
          <w:spacing w:val="0"/>
          <w:w w:val="100"/>
          <w:sz w:val="44"/>
          <w:szCs w:val="44"/>
          <w:vertAlign w:val="baseline"/>
          <w:lang w:val="en-US" w:eastAsia="zh-CN"/>
        </w:rPr>
        <w:t xml:space="preserve">第七章 </w:t>
      </w:r>
      <w:r>
        <w:rPr>
          <w:rFonts w:hint="eastAsia" w:ascii="黑体" w:hAnsi="宋体" w:eastAsia="黑体" w:cs="黑体"/>
          <w:b/>
          <w:bCs/>
          <w:i w:val="0"/>
          <w:iCs w:val="0"/>
          <w:color w:val="000000"/>
          <w:spacing w:val="0"/>
          <w:w w:val="100"/>
          <w:sz w:val="44"/>
          <w:szCs w:val="44"/>
          <w:vertAlign w:val="baseline"/>
        </w:rPr>
        <w:t>生产管理</w:t>
      </w:r>
      <w:bookmarkEnd w:id="111"/>
      <w:bookmarkEnd w:id="112"/>
    </w:p>
    <w:p w14:paraId="47375C1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sz w:val="36"/>
          <w:szCs w:val="36"/>
        </w:rPr>
      </w:pPr>
      <w:bookmarkStart w:id="113" w:name="_Toc17493"/>
      <w:bookmarkStart w:id="114" w:name="_Toc31245"/>
      <w:r>
        <w:rPr>
          <w:rFonts w:hint="eastAsia" w:ascii="黑体" w:hAnsi="宋体" w:eastAsia="黑体" w:cs="黑体"/>
          <w:b/>
          <w:bCs/>
          <w:i w:val="0"/>
          <w:iCs w:val="0"/>
          <w:color w:val="000000"/>
          <w:spacing w:val="0"/>
          <w:w w:val="100"/>
          <w:sz w:val="36"/>
          <w:szCs w:val="36"/>
          <w:vertAlign w:val="baseline"/>
        </w:rPr>
        <w:t>7.1 生产布局规划</w:t>
      </w:r>
      <w:bookmarkEnd w:id="113"/>
      <w:bookmarkEnd w:id="114"/>
    </w:p>
    <w:p w14:paraId="2BAA7BC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sz w:val="32"/>
          <w:szCs w:val="32"/>
        </w:rPr>
      </w:pPr>
      <w:bookmarkStart w:id="115" w:name="_Toc31559"/>
      <w:bookmarkStart w:id="116" w:name="_Toc20423"/>
      <w:r>
        <w:rPr>
          <w:rFonts w:hint="eastAsia" w:ascii="黑体" w:hAnsi="宋体" w:eastAsia="黑体" w:cs="黑体"/>
          <w:b/>
          <w:bCs/>
          <w:i w:val="0"/>
          <w:iCs w:val="0"/>
          <w:color w:val="000000"/>
          <w:spacing w:val="0"/>
          <w:w w:val="100"/>
          <w:sz w:val="32"/>
          <w:szCs w:val="32"/>
          <w:vertAlign w:val="baseline"/>
        </w:rPr>
        <w:t>7.1.1 生产布局原则</w:t>
      </w:r>
      <w:bookmarkEnd w:id="115"/>
      <w:bookmarkEnd w:id="116"/>
    </w:p>
    <w:p w14:paraId="16D8C73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采用“轻资产、模块化”生产模式，初期以组装集成与测试为主，核心零部件向外采购，降低固定资产投入与生产风险。生产布局围绕供应链效率、成本控制、市场响应速度展开，优先贴近钢材产业集群地，保障快速交付与服务。</w:t>
      </w:r>
    </w:p>
    <w:p w14:paraId="5C61260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lang w:val="en-US"/>
        </w:rPr>
        <w:t> </w:t>
      </w:r>
    </w:p>
    <w:p w14:paraId="2AF9A9D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sz w:val="32"/>
          <w:szCs w:val="32"/>
        </w:rPr>
      </w:pPr>
      <w:bookmarkStart w:id="117" w:name="_Toc11074"/>
      <w:bookmarkStart w:id="118" w:name="_Toc860"/>
      <w:r>
        <w:rPr>
          <w:rFonts w:hint="eastAsia" w:ascii="黑体" w:hAnsi="宋体" w:eastAsia="黑体" w:cs="黑体"/>
          <w:b/>
          <w:bCs/>
          <w:i w:val="0"/>
          <w:iCs w:val="0"/>
          <w:color w:val="000000"/>
          <w:spacing w:val="0"/>
          <w:w w:val="100"/>
          <w:sz w:val="32"/>
          <w:szCs w:val="32"/>
          <w:vertAlign w:val="baseline"/>
        </w:rPr>
        <w:t>7.1.2 产能规划</w:t>
      </w:r>
      <w:bookmarkEnd w:id="117"/>
      <w:bookmarkEnd w:id="118"/>
    </w:p>
    <w:p w14:paraId="6432FEF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drawing>
          <wp:inline distT="0" distB="0" distL="114300" distR="114300">
            <wp:extent cx="5336540" cy="983615"/>
            <wp:effectExtent l="0" t="0" r="10160" b="6985"/>
            <wp:docPr id="50" name="图片 3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0" descr="IMG_260"/>
                    <pic:cNvPicPr>
                      <a:picLocks noChangeAspect="1"/>
                    </pic:cNvPicPr>
                  </pic:nvPicPr>
                  <pic:blipFill>
                    <a:blip r:embed="rId33"/>
                    <a:stretch>
                      <a:fillRect/>
                    </a:stretch>
                  </pic:blipFill>
                  <pic:spPr>
                    <a:xfrm>
                      <a:off x="0" y="0"/>
                      <a:ext cx="5336540" cy="983615"/>
                    </a:xfrm>
                    <a:prstGeom prst="rect">
                      <a:avLst/>
                    </a:prstGeom>
                    <a:noFill/>
                    <a:ln w="9525">
                      <a:noFill/>
                    </a:ln>
                  </pic:spPr>
                </pic:pic>
              </a:graphicData>
            </a:graphic>
          </wp:inline>
        </w:drawing>
      </w:r>
    </w:p>
    <w:p w14:paraId="1498A52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图7-1产能规划图</w:t>
      </w:r>
      <w:r>
        <w:rPr>
          <w:rFonts w:hint="eastAsia" w:ascii="宋体" w:hAnsi="宋体" w:eastAsia="宋体" w:cs="宋体"/>
          <w:sz w:val="18"/>
          <w:szCs w:val="18"/>
          <w:lang w:eastAsia="zh-CN"/>
        </w:rPr>
        <w:t>）</w:t>
      </w:r>
    </w:p>
    <w:p w14:paraId="3F6D47E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rPr>
          <w:rFonts w:hint="eastAsia" w:ascii="宋体" w:hAnsi="宋体" w:eastAsia="宋体" w:cs="宋体"/>
          <w:sz w:val="18"/>
          <w:szCs w:val="18"/>
          <w:lang w:eastAsia="zh-CN"/>
        </w:rPr>
      </w:pPr>
    </w:p>
    <w:p w14:paraId="4437EE8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sz w:val="32"/>
          <w:szCs w:val="32"/>
        </w:rPr>
      </w:pPr>
      <w:bookmarkStart w:id="119" w:name="_Toc266"/>
      <w:bookmarkStart w:id="120" w:name="_Toc10509"/>
      <w:r>
        <w:rPr>
          <w:rFonts w:hint="eastAsia" w:ascii="黑体" w:hAnsi="宋体" w:eastAsia="黑体" w:cs="黑体"/>
          <w:b/>
          <w:bCs/>
          <w:i w:val="0"/>
          <w:iCs w:val="0"/>
          <w:color w:val="000000"/>
          <w:spacing w:val="0"/>
          <w:w w:val="100"/>
          <w:sz w:val="32"/>
          <w:szCs w:val="32"/>
          <w:vertAlign w:val="baseline"/>
        </w:rPr>
        <w:t>7.1.3 生产选址</w:t>
      </w:r>
      <w:bookmarkEnd w:id="119"/>
      <w:bookmarkEnd w:id="120"/>
    </w:p>
    <w:p w14:paraId="080D8DF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初期依托广西科技师范学院先进制造工程学院实验室，降低场地成本；中期在柳州或玉林等钢材产业集中地设立组装中心，贴近市场，缩短交付周期；长期根据市场规模逐步布局华南、华东生产基地。</w:t>
      </w:r>
    </w:p>
    <w:p w14:paraId="46E4889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宋体" w:eastAsia="黑体" w:cs="黑体"/>
          <w:b/>
          <w:bCs/>
          <w:i w:val="0"/>
          <w:iCs w:val="0"/>
          <w:color w:val="000000"/>
          <w:spacing w:val="0"/>
          <w:w w:val="100"/>
          <w:sz w:val="36"/>
          <w:szCs w:val="36"/>
          <w:vertAlign w:val="baseline"/>
        </w:rPr>
      </w:pPr>
    </w:p>
    <w:p w14:paraId="76DDCCE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sz w:val="36"/>
          <w:szCs w:val="36"/>
        </w:rPr>
      </w:pPr>
      <w:bookmarkStart w:id="121" w:name="_Toc3197"/>
      <w:bookmarkStart w:id="122" w:name="_Toc28698"/>
      <w:r>
        <w:rPr>
          <w:rFonts w:hint="eastAsia" w:ascii="黑体" w:hAnsi="宋体" w:eastAsia="黑体" w:cs="黑体"/>
          <w:b/>
          <w:bCs/>
          <w:i w:val="0"/>
          <w:iCs w:val="0"/>
          <w:color w:val="000000"/>
          <w:spacing w:val="0"/>
          <w:w w:val="100"/>
          <w:sz w:val="36"/>
          <w:szCs w:val="36"/>
          <w:vertAlign w:val="baseline"/>
        </w:rPr>
        <w:t>7.2 合作伙伴管理与全生命周期运营</w:t>
      </w:r>
      <w:bookmarkEnd w:id="121"/>
      <w:bookmarkEnd w:id="122"/>
    </w:p>
    <w:p w14:paraId="52EAFCB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sz w:val="32"/>
          <w:szCs w:val="32"/>
        </w:rPr>
      </w:pPr>
      <w:bookmarkStart w:id="123" w:name="_Toc17984"/>
      <w:bookmarkStart w:id="124" w:name="_Toc18929"/>
      <w:r>
        <w:rPr>
          <w:rFonts w:hint="eastAsia" w:ascii="黑体" w:hAnsi="宋体" w:eastAsia="黑体" w:cs="黑体"/>
          <w:b/>
          <w:bCs/>
          <w:i w:val="0"/>
          <w:iCs w:val="0"/>
          <w:color w:val="000000"/>
          <w:spacing w:val="0"/>
          <w:w w:val="100"/>
          <w:sz w:val="32"/>
          <w:szCs w:val="32"/>
          <w:vertAlign w:val="baseline"/>
        </w:rPr>
        <w:t>7.2.1 合作伙伴类型与机制</w:t>
      </w:r>
      <w:bookmarkEnd w:id="123"/>
      <w:bookmarkEnd w:id="124"/>
    </w:p>
    <w:p w14:paraId="021F17F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r>
        <w:drawing>
          <wp:inline distT="0" distB="0" distL="114300" distR="114300">
            <wp:extent cx="5398135" cy="1226185"/>
            <wp:effectExtent l="0" t="0" r="12065" b="5715"/>
            <wp:docPr id="42" name="图片 3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IMG_261"/>
                    <pic:cNvPicPr>
                      <a:picLocks noChangeAspect="1"/>
                    </pic:cNvPicPr>
                  </pic:nvPicPr>
                  <pic:blipFill>
                    <a:blip r:embed="rId34"/>
                    <a:stretch>
                      <a:fillRect/>
                    </a:stretch>
                  </pic:blipFill>
                  <pic:spPr>
                    <a:xfrm>
                      <a:off x="0" y="0"/>
                      <a:ext cx="5398135" cy="1226185"/>
                    </a:xfrm>
                    <a:prstGeom prst="rect">
                      <a:avLst/>
                    </a:prstGeom>
                    <a:noFill/>
                    <a:ln w="9525">
                      <a:noFill/>
                    </a:ln>
                  </pic:spPr>
                </pic:pic>
              </a:graphicData>
            </a:graphic>
          </wp:inline>
        </w:drawing>
      </w:r>
    </w:p>
    <w:p w14:paraId="62D236B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图7-2合作伙伴类型与机制图</w:t>
      </w:r>
      <w:r>
        <w:rPr>
          <w:rFonts w:hint="eastAsia" w:ascii="宋体" w:hAnsi="宋体" w:eastAsia="宋体" w:cs="宋体"/>
          <w:sz w:val="18"/>
          <w:szCs w:val="18"/>
          <w:lang w:eastAsia="zh-CN"/>
        </w:rPr>
        <w:t>）</w:t>
      </w:r>
    </w:p>
    <w:p w14:paraId="12B8319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p>
    <w:p w14:paraId="7FA5DAA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b/>
          <w:bCs/>
          <w:sz w:val="32"/>
          <w:szCs w:val="32"/>
        </w:rPr>
      </w:pPr>
      <w:bookmarkStart w:id="125" w:name="_Toc1754"/>
      <w:bookmarkStart w:id="126" w:name="_Toc8096"/>
      <w:r>
        <w:rPr>
          <w:rFonts w:hint="eastAsia" w:ascii="黑体" w:hAnsi="宋体" w:eastAsia="黑体" w:cs="黑体"/>
          <w:b/>
          <w:bCs/>
          <w:i w:val="0"/>
          <w:iCs w:val="0"/>
          <w:color w:val="000000"/>
          <w:spacing w:val="0"/>
          <w:w w:val="100"/>
          <w:sz w:val="32"/>
          <w:szCs w:val="32"/>
          <w:vertAlign w:val="baseline"/>
        </w:rPr>
        <w:t>7.2.2 产品全生命周期管理</w:t>
      </w:r>
      <w:bookmarkEnd w:id="125"/>
      <w:bookmarkEnd w:id="126"/>
    </w:p>
    <w:p w14:paraId="443A0C0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2"/>
      </w:pPr>
      <w:bookmarkStart w:id="127" w:name="_Toc11300"/>
      <w:bookmarkStart w:id="128" w:name="_Toc27931"/>
      <w:r>
        <w:rPr>
          <w:rFonts w:hint="eastAsia" w:ascii="宋体" w:hAnsi="宋体" w:eastAsia="宋体" w:cs="宋体"/>
          <w:b/>
          <w:bCs/>
          <w:i w:val="0"/>
          <w:iCs w:val="0"/>
          <w:color w:val="000000"/>
          <w:spacing w:val="0"/>
          <w:w w:val="100"/>
          <w:sz w:val="27"/>
          <w:szCs w:val="27"/>
          <w:vertAlign w:val="baseline"/>
        </w:rPr>
        <w:t>（一）研发与设计</w:t>
      </w:r>
      <w:bookmarkEnd w:id="127"/>
      <w:bookmarkEnd w:id="128"/>
    </w:p>
    <w:p w14:paraId="106E4D8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采用模块化设计思路，硬件与软件均采用标准化接口，便于快速迭代与维护；建立设计评审机制，确保产品可生产性、可维护性与成本控制。</w:t>
      </w:r>
    </w:p>
    <w:p w14:paraId="448B8C7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2"/>
        <w:rPr>
          <w:sz w:val="28"/>
          <w:szCs w:val="28"/>
        </w:rPr>
      </w:pPr>
      <w:bookmarkStart w:id="129" w:name="_Toc30417"/>
      <w:bookmarkStart w:id="130" w:name="_Toc11929"/>
      <w:r>
        <w:rPr>
          <w:rFonts w:hint="eastAsia" w:ascii="宋体" w:hAnsi="宋体" w:eastAsia="宋体" w:cs="宋体"/>
          <w:b/>
          <w:bCs/>
          <w:i w:val="0"/>
          <w:iCs w:val="0"/>
          <w:color w:val="000000"/>
          <w:spacing w:val="0"/>
          <w:w w:val="100"/>
          <w:sz w:val="28"/>
          <w:szCs w:val="28"/>
          <w:vertAlign w:val="baseline"/>
        </w:rPr>
        <w:t>（二）生产与质检</w:t>
      </w:r>
      <w:bookmarkEnd w:id="129"/>
      <w:bookmarkEnd w:id="130"/>
    </w:p>
    <w:p w14:paraId="4C7D0AA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建立标准化组装工艺流程，严格执行来料检验、过程检验、出厂检验三级质量管控；每台设备出厂前完成72小时连续运行测试，确保产品稳定性。</w:t>
      </w:r>
    </w:p>
    <w:p w14:paraId="71178F2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2"/>
      </w:pPr>
      <w:bookmarkStart w:id="131" w:name="_Toc15176"/>
      <w:bookmarkStart w:id="132" w:name="_Toc2066"/>
      <w:r>
        <w:rPr>
          <w:rFonts w:hint="eastAsia" w:ascii="宋体" w:hAnsi="宋体" w:eastAsia="宋体" w:cs="宋体"/>
          <w:b/>
          <w:bCs/>
          <w:i w:val="0"/>
          <w:iCs w:val="0"/>
          <w:color w:val="000000"/>
          <w:spacing w:val="0"/>
          <w:w w:val="100"/>
          <w:sz w:val="28"/>
          <w:szCs w:val="28"/>
          <w:vertAlign w:val="baseline"/>
        </w:rPr>
        <w:t>（三）交付与服务</w:t>
      </w:r>
      <w:bookmarkEnd w:id="131"/>
      <w:bookmarkEnd w:id="132"/>
    </w:p>
    <w:p w14:paraId="63F2E3A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提供上门安装调试与培训服务；建立产品全生命周期档案，跟踪设备运行状态；定期主动回访，提供算法升级与维护服务，保障客户长期稳定使用。</w:t>
      </w:r>
    </w:p>
    <w:p w14:paraId="080F87D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2"/>
      </w:pPr>
      <w:bookmarkStart w:id="133" w:name="_Toc29117"/>
      <w:bookmarkStart w:id="134" w:name="_Toc24796"/>
      <w:r>
        <w:rPr>
          <w:rFonts w:hint="eastAsia" w:ascii="宋体" w:hAnsi="宋体" w:eastAsia="宋体" w:cs="宋体"/>
          <w:b/>
          <w:bCs/>
          <w:i w:val="0"/>
          <w:iCs w:val="0"/>
          <w:color w:val="000000"/>
          <w:spacing w:val="0"/>
          <w:w w:val="100"/>
          <w:sz w:val="28"/>
          <w:szCs w:val="28"/>
          <w:vertAlign w:val="baseline"/>
        </w:rPr>
        <w:t>（四）回收与迭代</w:t>
      </w:r>
      <w:bookmarkEnd w:id="133"/>
      <w:bookmarkEnd w:id="134"/>
    </w:p>
    <w:p w14:paraId="277FE77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推出以旧换新政策，回收老旧设备进行升级改造；持续收集客户反馈，反哺产品迭代，形成研发-生产-服务-迭代的闭环。</w:t>
      </w:r>
    </w:p>
    <w:p w14:paraId="0C6A26D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drawing>
          <wp:inline distT="0" distB="0" distL="114300" distR="114300">
            <wp:extent cx="3975735" cy="3010535"/>
            <wp:effectExtent l="0" t="0" r="12065" b="12065"/>
            <wp:docPr id="44" name="图片 3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descr="IMG_262"/>
                    <pic:cNvPicPr>
                      <a:picLocks noChangeAspect="1"/>
                    </pic:cNvPicPr>
                  </pic:nvPicPr>
                  <pic:blipFill>
                    <a:blip r:embed="rId35"/>
                    <a:stretch>
                      <a:fillRect/>
                    </a:stretch>
                  </pic:blipFill>
                  <pic:spPr>
                    <a:xfrm>
                      <a:off x="0" y="0"/>
                      <a:ext cx="3975735" cy="3010535"/>
                    </a:xfrm>
                    <a:prstGeom prst="rect">
                      <a:avLst/>
                    </a:prstGeom>
                    <a:noFill/>
                    <a:ln w="9525">
                      <a:noFill/>
                    </a:ln>
                  </pic:spPr>
                </pic:pic>
              </a:graphicData>
            </a:graphic>
          </wp:inline>
        </w:drawing>
      </w:r>
    </w:p>
    <w:p w14:paraId="55AAC58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图7-3产品全周期规划流程图</w:t>
      </w:r>
      <w:r>
        <w:rPr>
          <w:rFonts w:hint="eastAsia" w:ascii="宋体" w:hAnsi="宋体" w:eastAsia="宋体" w:cs="宋体"/>
          <w:sz w:val="18"/>
          <w:szCs w:val="18"/>
          <w:lang w:eastAsia="zh-CN"/>
        </w:rPr>
        <w:t>）</w:t>
      </w:r>
    </w:p>
    <w:p w14:paraId="1B0AB4F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宋体" w:eastAsia="黑体" w:cs="黑体"/>
          <w:b/>
          <w:bCs/>
          <w:i w:val="0"/>
          <w:iCs w:val="0"/>
          <w:color w:val="000000"/>
          <w:spacing w:val="0"/>
          <w:w w:val="100"/>
          <w:sz w:val="36"/>
          <w:szCs w:val="36"/>
          <w:vertAlign w:val="baseline"/>
        </w:rPr>
      </w:pPr>
    </w:p>
    <w:p w14:paraId="1557B91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sz w:val="36"/>
          <w:szCs w:val="36"/>
        </w:rPr>
      </w:pPr>
      <w:bookmarkStart w:id="135" w:name="_Toc13800"/>
      <w:bookmarkStart w:id="136" w:name="_Toc8873"/>
      <w:r>
        <w:rPr>
          <w:rFonts w:hint="eastAsia" w:ascii="黑体" w:hAnsi="宋体" w:eastAsia="黑体" w:cs="黑体"/>
          <w:b/>
          <w:bCs/>
          <w:i w:val="0"/>
          <w:iCs w:val="0"/>
          <w:color w:val="000000"/>
          <w:spacing w:val="0"/>
          <w:w w:val="100"/>
          <w:sz w:val="36"/>
          <w:szCs w:val="36"/>
          <w:vertAlign w:val="baseline"/>
        </w:rPr>
        <w:t>7.3 未来发展规划</w:t>
      </w:r>
      <w:bookmarkEnd w:id="135"/>
      <w:bookmarkEnd w:id="136"/>
    </w:p>
    <w:p w14:paraId="517F822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sz w:val="32"/>
          <w:szCs w:val="32"/>
        </w:rPr>
      </w:pPr>
      <w:bookmarkStart w:id="137" w:name="_Toc18779"/>
      <w:bookmarkStart w:id="138" w:name="_Toc5517"/>
      <w:r>
        <w:rPr>
          <w:rFonts w:hint="eastAsia" w:ascii="黑体" w:hAnsi="宋体" w:eastAsia="黑体" w:cs="黑体"/>
          <w:b/>
          <w:bCs/>
          <w:i w:val="0"/>
          <w:iCs w:val="0"/>
          <w:color w:val="000000"/>
          <w:spacing w:val="0"/>
          <w:w w:val="100"/>
          <w:sz w:val="32"/>
          <w:szCs w:val="32"/>
          <w:vertAlign w:val="baseline"/>
        </w:rPr>
        <w:t>7.3.1 技术规划</w:t>
      </w:r>
      <w:bookmarkEnd w:id="137"/>
      <w:bookmarkEnd w:id="138"/>
    </w:p>
    <w:p w14:paraId="55EADEF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r>
        <w:drawing>
          <wp:inline distT="0" distB="0" distL="114300" distR="114300">
            <wp:extent cx="5872480" cy="1251585"/>
            <wp:effectExtent l="0" t="0" r="7620" b="5715"/>
            <wp:docPr id="46" name="图片 3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3" descr="IMG_263"/>
                    <pic:cNvPicPr>
                      <a:picLocks noChangeAspect="1"/>
                    </pic:cNvPicPr>
                  </pic:nvPicPr>
                  <pic:blipFill>
                    <a:blip r:embed="rId36"/>
                    <a:stretch>
                      <a:fillRect/>
                    </a:stretch>
                  </pic:blipFill>
                  <pic:spPr>
                    <a:xfrm>
                      <a:off x="0" y="0"/>
                      <a:ext cx="5872480" cy="1251585"/>
                    </a:xfrm>
                    <a:prstGeom prst="rect">
                      <a:avLst/>
                    </a:prstGeom>
                    <a:noFill/>
                    <a:ln w="9525">
                      <a:noFill/>
                    </a:ln>
                  </pic:spPr>
                </pic:pic>
              </a:graphicData>
            </a:graphic>
          </wp:inline>
        </w:drawing>
      </w:r>
    </w:p>
    <w:p w14:paraId="1A28267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图7-4未来技术规划图</w:t>
      </w:r>
      <w:r>
        <w:rPr>
          <w:rFonts w:hint="eastAsia" w:ascii="宋体" w:hAnsi="宋体" w:eastAsia="宋体" w:cs="宋体"/>
          <w:sz w:val="18"/>
          <w:szCs w:val="18"/>
          <w:lang w:eastAsia="zh-CN"/>
        </w:rPr>
        <w:t>）</w:t>
      </w:r>
    </w:p>
    <w:p w14:paraId="1A78DEC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p>
    <w:p w14:paraId="15915B0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39" w:name="_Toc27501"/>
      <w:bookmarkStart w:id="140" w:name="_Toc32150"/>
      <w:r>
        <w:rPr>
          <w:rFonts w:hint="eastAsia" w:ascii="黑体" w:hAnsi="宋体" w:eastAsia="黑体" w:cs="黑体"/>
          <w:b/>
          <w:bCs/>
          <w:i w:val="0"/>
          <w:iCs w:val="0"/>
          <w:color w:val="000000"/>
          <w:spacing w:val="0"/>
          <w:w w:val="100"/>
          <w:sz w:val="32"/>
          <w:szCs w:val="32"/>
          <w:vertAlign w:val="baseline"/>
        </w:rPr>
        <w:t>7.3.2 产能规划</w:t>
      </w:r>
      <w:bookmarkEnd w:id="139"/>
      <w:bookmarkEnd w:id="140"/>
    </w:p>
    <w:p w14:paraId="2B601F1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短期采用轻资产组装模式，控制产能与风险；中期根据市场增长逐步扩产，引入半自动组装与测试设备；长期建设智能化生产基地，实现核心部件自主生产，进一步降低成本。</w:t>
      </w:r>
    </w:p>
    <w:p w14:paraId="6AA32AF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drawing>
          <wp:inline distT="0" distB="0" distL="114300" distR="114300">
            <wp:extent cx="3775710" cy="2859405"/>
            <wp:effectExtent l="0" t="0" r="8890" b="10795"/>
            <wp:docPr id="49" name="图片 3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4" descr="IMG_264"/>
                    <pic:cNvPicPr>
                      <a:picLocks noChangeAspect="1"/>
                    </pic:cNvPicPr>
                  </pic:nvPicPr>
                  <pic:blipFill>
                    <a:blip r:embed="rId37"/>
                    <a:stretch>
                      <a:fillRect/>
                    </a:stretch>
                  </pic:blipFill>
                  <pic:spPr>
                    <a:xfrm>
                      <a:off x="0" y="0"/>
                      <a:ext cx="3775710" cy="2859405"/>
                    </a:xfrm>
                    <a:prstGeom prst="rect">
                      <a:avLst/>
                    </a:prstGeom>
                    <a:noFill/>
                    <a:ln w="9525">
                      <a:noFill/>
                    </a:ln>
                  </pic:spPr>
                </pic:pic>
              </a:graphicData>
            </a:graphic>
          </wp:inline>
        </w:drawing>
      </w:r>
    </w:p>
    <w:p w14:paraId="074C85D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图7-5产能规划图</w:t>
      </w:r>
      <w:r>
        <w:rPr>
          <w:rFonts w:hint="eastAsia" w:ascii="宋体" w:hAnsi="宋体" w:eastAsia="宋体" w:cs="宋体"/>
          <w:sz w:val="18"/>
          <w:szCs w:val="18"/>
          <w:lang w:eastAsia="zh-CN"/>
        </w:rPr>
        <w:t>）</w:t>
      </w:r>
    </w:p>
    <w:p w14:paraId="0ABAB50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p>
    <w:p w14:paraId="0EACFC2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41" w:name="_Toc29543"/>
      <w:bookmarkStart w:id="142" w:name="_Toc20042"/>
      <w:r>
        <w:rPr>
          <w:rFonts w:hint="eastAsia" w:ascii="黑体" w:hAnsi="宋体" w:eastAsia="黑体" w:cs="黑体"/>
          <w:b/>
          <w:bCs/>
          <w:i w:val="0"/>
          <w:iCs w:val="0"/>
          <w:color w:val="000000"/>
          <w:spacing w:val="0"/>
          <w:w w:val="100"/>
          <w:sz w:val="32"/>
          <w:szCs w:val="32"/>
          <w:vertAlign w:val="baseline"/>
        </w:rPr>
        <w:t>7.3.3 供应链规划</w:t>
      </w:r>
      <w:bookmarkEnd w:id="141"/>
      <w:bookmarkEnd w:id="142"/>
    </w:p>
    <w:p w14:paraId="1EC7435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短期</w:t>
      </w:r>
      <w:r>
        <w:rPr>
          <w:rFonts w:hint="eastAsia" w:ascii="宋体" w:hAnsi="宋体" w:eastAsia="宋体" w:cs="宋体"/>
          <w:b w:val="0"/>
          <w:bCs w:val="0"/>
          <w:i w:val="0"/>
          <w:iCs w:val="0"/>
          <w:color w:val="000000"/>
          <w:spacing w:val="0"/>
          <w:w w:val="100"/>
          <w:sz w:val="24"/>
          <w:szCs w:val="24"/>
          <w:vertAlign w:val="baseline"/>
        </w:rPr>
        <w:t>：核心零部件选择2-3家优质供应商，建立安全库存，保障供应稳定；</w:t>
      </w:r>
    </w:p>
    <w:p w14:paraId="6973524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中期</w:t>
      </w:r>
      <w:r>
        <w:rPr>
          <w:rFonts w:hint="eastAsia" w:ascii="宋体" w:hAnsi="宋体" w:eastAsia="宋体" w:cs="宋体"/>
          <w:b w:val="0"/>
          <w:bCs w:val="0"/>
          <w:i w:val="0"/>
          <w:iCs w:val="0"/>
          <w:color w:val="000000"/>
          <w:spacing w:val="0"/>
          <w:w w:val="100"/>
          <w:sz w:val="24"/>
          <w:szCs w:val="24"/>
          <w:vertAlign w:val="baseline"/>
        </w:rPr>
        <w:t>：签订长期战略合作协议，规模化采购降低成本15%-20%；优化物流体系，缩短交付周期；</w:t>
      </w:r>
    </w:p>
    <w:p w14:paraId="196AE73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长期</w:t>
      </w:r>
      <w:r>
        <w:rPr>
          <w:rFonts w:hint="eastAsia" w:ascii="宋体" w:hAnsi="宋体" w:eastAsia="宋体" w:cs="宋体"/>
          <w:b w:val="0"/>
          <w:bCs w:val="0"/>
          <w:i w:val="0"/>
          <w:iCs w:val="0"/>
          <w:color w:val="000000"/>
          <w:spacing w:val="0"/>
          <w:w w:val="100"/>
          <w:sz w:val="24"/>
          <w:szCs w:val="24"/>
          <w:vertAlign w:val="baseline"/>
        </w:rPr>
        <w:t>：全国布局仓储中心，实现就近发货；联合供应商开发定制化部件，提升产品差异化。</w:t>
      </w:r>
    </w:p>
    <w:p w14:paraId="2F89908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1"/>
          <w:szCs w:val="21"/>
          <w:vertAlign w:val="baseline"/>
        </w:rPr>
      </w:pPr>
    </w:p>
    <w:p w14:paraId="4BAB1BD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43" w:name="_Toc8437"/>
      <w:bookmarkStart w:id="144" w:name="_Toc18069"/>
      <w:r>
        <w:rPr>
          <w:rFonts w:hint="eastAsia" w:ascii="黑体" w:hAnsi="宋体" w:eastAsia="黑体" w:cs="黑体"/>
          <w:b/>
          <w:bCs/>
          <w:i w:val="0"/>
          <w:iCs w:val="0"/>
          <w:color w:val="000000"/>
          <w:spacing w:val="0"/>
          <w:w w:val="100"/>
          <w:sz w:val="32"/>
          <w:szCs w:val="32"/>
          <w:vertAlign w:val="baseline"/>
        </w:rPr>
        <w:t>7.3.4 生产团队规划</w:t>
      </w:r>
      <w:bookmarkEnd w:id="143"/>
      <w:bookmarkEnd w:id="144"/>
    </w:p>
    <w:p w14:paraId="77E4EDB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drawing>
          <wp:inline distT="0" distB="0" distL="114300" distR="114300">
            <wp:extent cx="5323840" cy="1061085"/>
            <wp:effectExtent l="0" t="0" r="10160" b="5715"/>
            <wp:docPr id="51" name="图片 3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5" descr="IMG_265"/>
                    <pic:cNvPicPr>
                      <a:picLocks noChangeAspect="1"/>
                    </pic:cNvPicPr>
                  </pic:nvPicPr>
                  <pic:blipFill>
                    <a:blip r:embed="rId38"/>
                    <a:stretch>
                      <a:fillRect/>
                    </a:stretch>
                  </pic:blipFill>
                  <pic:spPr>
                    <a:xfrm>
                      <a:off x="0" y="0"/>
                      <a:ext cx="5323840" cy="1061085"/>
                    </a:xfrm>
                    <a:prstGeom prst="rect">
                      <a:avLst/>
                    </a:prstGeom>
                    <a:noFill/>
                    <a:ln w="9525">
                      <a:noFill/>
                    </a:ln>
                  </pic:spPr>
                </pic:pic>
              </a:graphicData>
            </a:graphic>
          </wp:inline>
        </w:drawing>
      </w:r>
    </w:p>
    <w:p w14:paraId="01D2BF7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图7-6生产团队规划图</w:t>
      </w:r>
      <w:r>
        <w:rPr>
          <w:rFonts w:hint="eastAsia" w:ascii="宋体" w:hAnsi="宋体" w:eastAsia="宋体" w:cs="宋体"/>
          <w:sz w:val="18"/>
          <w:szCs w:val="18"/>
          <w:lang w:eastAsia="zh-CN"/>
        </w:rPr>
        <w:t>）</w:t>
      </w:r>
    </w:p>
    <w:p w14:paraId="2BC21906">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center"/>
        <w:textAlignment w:val="auto"/>
        <w:outlineLvl w:val="0"/>
        <w:rPr>
          <w:rFonts w:hint="eastAsia" w:ascii="黑体" w:hAnsi="黑体" w:eastAsia="黑体" w:cs="黑体"/>
          <w:b/>
          <w:bCs/>
          <w:i w:val="0"/>
          <w:iCs w:val="0"/>
          <w:color w:val="000000"/>
          <w:spacing w:val="0"/>
          <w:w w:val="100"/>
          <w:sz w:val="44"/>
          <w:szCs w:val="44"/>
          <w:vertAlign w:val="baseline"/>
        </w:rPr>
      </w:pPr>
      <w:bookmarkStart w:id="145" w:name="_Toc32017"/>
      <w:bookmarkStart w:id="146" w:name="_Toc10922"/>
      <w:r>
        <w:rPr>
          <w:rFonts w:hint="eastAsia" w:ascii="黑体" w:hAnsi="黑体" w:eastAsia="黑体" w:cs="黑体"/>
          <w:b/>
          <w:bCs/>
          <w:i w:val="0"/>
          <w:iCs w:val="0"/>
          <w:color w:val="000000"/>
          <w:spacing w:val="0"/>
          <w:w w:val="100"/>
          <w:sz w:val="44"/>
          <w:szCs w:val="44"/>
          <w:vertAlign w:val="baseline"/>
        </w:rPr>
        <w:t>投资可行性分析</w:t>
      </w:r>
      <w:bookmarkEnd w:id="145"/>
      <w:bookmarkEnd w:id="146"/>
    </w:p>
    <w:p w14:paraId="3A26FA5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0" w:firstLineChars="0"/>
        <w:jc w:val="both"/>
        <w:textAlignment w:val="auto"/>
        <w:outlineLvl w:val="0"/>
        <w:rPr>
          <w:rFonts w:hint="eastAsia" w:ascii="黑体" w:hAnsi="黑体" w:eastAsia="黑体" w:cs="黑体"/>
          <w:sz w:val="36"/>
          <w:szCs w:val="36"/>
        </w:rPr>
      </w:pPr>
      <w:bookmarkStart w:id="147" w:name="_Toc18621"/>
      <w:bookmarkStart w:id="148" w:name="_Toc3580"/>
      <w:r>
        <w:rPr>
          <w:rFonts w:hint="eastAsia" w:ascii="黑体" w:hAnsi="黑体" w:eastAsia="黑体" w:cs="黑体"/>
          <w:b/>
          <w:bCs/>
          <w:i w:val="0"/>
          <w:iCs w:val="0"/>
          <w:color w:val="000000"/>
          <w:spacing w:val="0"/>
          <w:w w:val="100"/>
          <w:sz w:val="36"/>
          <w:szCs w:val="36"/>
          <w:vertAlign w:val="baseline"/>
        </w:rPr>
        <w:t>8.1 股本结构与规模</w:t>
      </w:r>
      <w:bookmarkEnd w:id="147"/>
      <w:bookmarkEnd w:id="148"/>
    </w:p>
    <w:p w14:paraId="23B9122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49" w:name="_Toc28317"/>
      <w:bookmarkStart w:id="150" w:name="_Toc9724"/>
      <w:r>
        <w:rPr>
          <w:rFonts w:hint="eastAsia" w:ascii="黑体" w:hAnsi="黑体" w:eastAsia="黑体" w:cs="黑体"/>
          <w:b/>
          <w:bCs/>
          <w:i w:val="0"/>
          <w:iCs w:val="0"/>
          <w:color w:val="000000"/>
          <w:spacing w:val="0"/>
          <w:w w:val="100"/>
          <w:sz w:val="32"/>
          <w:szCs w:val="32"/>
          <w:vertAlign w:val="baseline"/>
        </w:rPr>
        <w:t>8.1.1 初期股本结构（种子期）</w:t>
      </w:r>
      <w:bookmarkEnd w:id="149"/>
      <w:bookmarkEnd w:id="150"/>
    </w:p>
    <w:p w14:paraId="74F65EB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drawing>
          <wp:inline distT="0" distB="0" distL="114300" distR="114300">
            <wp:extent cx="3985260" cy="1109980"/>
            <wp:effectExtent l="0" t="0" r="2540" b="7620"/>
            <wp:docPr id="76"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8" descr="IMG_256"/>
                    <pic:cNvPicPr>
                      <a:picLocks noChangeAspect="1"/>
                    </pic:cNvPicPr>
                  </pic:nvPicPr>
                  <pic:blipFill>
                    <a:blip r:embed="rId39"/>
                    <a:stretch>
                      <a:fillRect/>
                    </a:stretch>
                  </pic:blipFill>
                  <pic:spPr>
                    <a:xfrm>
                      <a:off x="0" y="0"/>
                      <a:ext cx="3985260" cy="1109980"/>
                    </a:xfrm>
                    <a:prstGeom prst="rect">
                      <a:avLst/>
                    </a:prstGeom>
                    <a:noFill/>
                    <a:ln w="9525">
                      <a:noFill/>
                    </a:ln>
                  </pic:spPr>
                </pic:pic>
              </a:graphicData>
            </a:graphic>
          </wp:inline>
        </w:drawing>
      </w:r>
    </w:p>
    <w:p w14:paraId="75C7E8A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图8-1种子期股本结构图</w:t>
      </w:r>
      <w:r>
        <w:rPr>
          <w:rFonts w:hint="eastAsia" w:ascii="宋体" w:hAnsi="宋体" w:eastAsia="宋体" w:cs="宋体"/>
          <w:sz w:val="18"/>
          <w:szCs w:val="18"/>
          <w:lang w:eastAsia="zh-CN"/>
        </w:rPr>
        <w:t>）</w:t>
      </w:r>
    </w:p>
    <w:p w14:paraId="2231CC2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p>
    <w:p w14:paraId="38DC5D6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51" w:name="_Toc25736"/>
      <w:bookmarkStart w:id="152" w:name="_Toc26"/>
      <w:r>
        <w:rPr>
          <w:rFonts w:hint="eastAsia" w:ascii="黑体" w:hAnsi="黑体" w:eastAsia="黑体" w:cs="黑体"/>
          <w:b/>
          <w:bCs/>
          <w:i w:val="0"/>
          <w:iCs w:val="0"/>
          <w:color w:val="000000"/>
          <w:spacing w:val="0"/>
          <w:w w:val="100"/>
          <w:sz w:val="32"/>
          <w:szCs w:val="32"/>
          <w:vertAlign w:val="baseline"/>
        </w:rPr>
        <w:t>8.1.2 中期股本结构（成长期）</w:t>
      </w:r>
      <w:bookmarkEnd w:id="151"/>
      <w:bookmarkEnd w:id="152"/>
    </w:p>
    <w:p w14:paraId="26666F2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drawing>
          <wp:inline distT="0" distB="0" distL="114300" distR="114300">
            <wp:extent cx="4139565" cy="1362710"/>
            <wp:effectExtent l="0" t="0" r="635" b="8890"/>
            <wp:docPr id="77" name="图片 5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9" descr="IMG_257"/>
                    <pic:cNvPicPr>
                      <a:picLocks noChangeAspect="1"/>
                    </pic:cNvPicPr>
                  </pic:nvPicPr>
                  <pic:blipFill>
                    <a:blip r:embed="rId40"/>
                    <a:stretch>
                      <a:fillRect/>
                    </a:stretch>
                  </pic:blipFill>
                  <pic:spPr>
                    <a:xfrm>
                      <a:off x="0" y="0"/>
                      <a:ext cx="4139565" cy="1362710"/>
                    </a:xfrm>
                    <a:prstGeom prst="rect">
                      <a:avLst/>
                    </a:prstGeom>
                    <a:noFill/>
                    <a:ln w="9525">
                      <a:noFill/>
                    </a:ln>
                  </pic:spPr>
                </pic:pic>
              </a:graphicData>
            </a:graphic>
          </wp:inline>
        </w:drawing>
      </w:r>
    </w:p>
    <w:p w14:paraId="082D20A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图8-2成长期股本结构图</w:t>
      </w:r>
      <w:r>
        <w:rPr>
          <w:rFonts w:hint="eastAsia" w:ascii="宋体" w:hAnsi="宋体" w:eastAsia="宋体" w:cs="宋体"/>
          <w:sz w:val="18"/>
          <w:szCs w:val="18"/>
          <w:lang w:eastAsia="zh-CN"/>
        </w:rPr>
        <w:t>）</w:t>
      </w:r>
    </w:p>
    <w:p w14:paraId="647EACB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rPr>
          <w:rFonts w:hint="eastAsia" w:ascii="宋体" w:hAnsi="宋体" w:eastAsia="宋体" w:cs="宋体"/>
          <w:sz w:val="18"/>
          <w:szCs w:val="18"/>
          <w:lang w:eastAsia="zh-CN"/>
        </w:rPr>
      </w:pPr>
    </w:p>
    <w:p w14:paraId="4B6FA8D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53" w:name="_Toc28663"/>
      <w:bookmarkStart w:id="154" w:name="_Toc16691"/>
      <w:r>
        <w:rPr>
          <w:rFonts w:hint="eastAsia" w:ascii="黑体" w:hAnsi="黑体" w:eastAsia="黑体" w:cs="黑体"/>
          <w:b/>
          <w:bCs/>
          <w:i w:val="0"/>
          <w:iCs w:val="0"/>
          <w:color w:val="000000"/>
          <w:spacing w:val="0"/>
          <w:w w:val="100"/>
          <w:sz w:val="27"/>
          <w:szCs w:val="27"/>
          <w:vertAlign w:val="baseline"/>
        </w:rPr>
        <w:t>8.1.3 长期股本结构（成熟期）</w:t>
      </w:r>
      <w:bookmarkEnd w:id="153"/>
      <w:bookmarkEnd w:id="154"/>
    </w:p>
    <w:p w14:paraId="6F42DA3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drawing>
          <wp:inline distT="0" distB="0" distL="114300" distR="114300">
            <wp:extent cx="3992880" cy="1367155"/>
            <wp:effectExtent l="0" t="0" r="7620" b="4445"/>
            <wp:docPr id="82" name="图片 6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0" descr="IMG_258"/>
                    <pic:cNvPicPr>
                      <a:picLocks noChangeAspect="1"/>
                    </pic:cNvPicPr>
                  </pic:nvPicPr>
                  <pic:blipFill>
                    <a:blip r:embed="rId41"/>
                    <a:stretch>
                      <a:fillRect/>
                    </a:stretch>
                  </pic:blipFill>
                  <pic:spPr>
                    <a:xfrm>
                      <a:off x="0" y="0"/>
                      <a:ext cx="3992880" cy="1367155"/>
                    </a:xfrm>
                    <a:prstGeom prst="rect">
                      <a:avLst/>
                    </a:prstGeom>
                    <a:noFill/>
                    <a:ln w="9525">
                      <a:noFill/>
                    </a:ln>
                  </pic:spPr>
                </pic:pic>
              </a:graphicData>
            </a:graphic>
          </wp:inline>
        </w:drawing>
      </w:r>
    </w:p>
    <w:p w14:paraId="749F013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360" w:firstLineChars="20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图8-3成熟期股本结构图</w:t>
      </w:r>
      <w:r>
        <w:rPr>
          <w:rFonts w:hint="eastAsia" w:ascii="宋体" w:hAnsi="宋体" w:eastAsia="宋体" w:cs="宋体"/>
          <w:sz w:val="18"/>
          <w:szCs w:val="18"/>
          <w:lang w:eastAsia="zh-CN"/>
        </w:rPr>
        <w:t>）</w:t>
      </w:r>
    </w:p>
    <w:p w14:paraId="0F46DCF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55" w:name="_Toc11817"/>
      <w:bookmarkStart w:id="156" w:name="_Toc23204"/>
      <w:r>
        <w:rPr>
          <w:rFonts w:hint="eastAsia" w:ascii="黑体" w:hAnsi="黑体" w:eastAsia="黑体" w:cs="黑体"/>
          <w:b/>
          <w:bCs/>
          <w:i w:val="0"/>
          <w:iCs w:val="0"/>
          <w:color w:val="000000"/>
          <w:spacing w:val="0"/>
          <w:w w:val="100"/>
          <w:sz w:val="36"/>
          <w:szCs w:val="36"/>
          <w:vertAlign w:val="baseline"/>
        </w:rPr>
        <w:t>8.2 资金运用</w:t>
      </w:r>
      <w:bookmarkEnd w:id="155"/>
      <w:bookmarkEnd w:id="156"/>
    </w:p>
    <w:p w14:paraId="4C4F9F3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57" w:name="_Toc3366"/>
      <w:bookmarkStart w:id="158" w:name="_Toc25523"/>
      <w:r>
        <w:rPr>
          <w:rFonts w:hint="eastAsia" w:ascii="黑体" w:hAnsi="黑体" w:eastAsia="黑体" w:cs="黑体"/>
          <w:b/>
          <w:bCs/>
          <w:i w:val="0"/>
          <w:iCs w:val="0"/>
          <w:color w:val="000000"/>
          <w:spacing w:val="0"/>
          <w:w w:val="100"/>
          <w:sz w:val="32"/>
          <w:szCs w:val="32"/>
          <w:vertAlign w:val="baseline"/>
        </w:rPr>
        <w:t>8.2.1 种子期资金运用（5.0万元）</w:t>
      </w:r>
      <w:bookmarkEnd w:id="157"/>
      <w:bookmarkEnd w:id="158"/>
    </w:p>
    <w:p w14:paraId="085BCD6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研发费用</w:t>
      </w:r>
      <w:r>
        <w:rPr>
          <w:rFonts w:hint="eastAsia" w:ascii="宋体" w:hAnsi="宋体" w:eastAsia="宋体" w:cs="宋体"/>
          <w:b w:val="0"/>
          <w:bCs w:val="0"/>
          <w:i w:val="0"/>
          <w:iCs w:val="0"/>
          <w:color w:val="000000"/>
          <w:spacing w:val="0"/>
          <w:w w:val="100"/>
          <w:sz w:val="24"/>
          <w:szCs w:val="24"/>
          <w:vertAlign w:val="baseline"/>
        </w:rPr>
        <w:t>：2.25万元（算法优化、软件开发、测试验证）</w:t>
      </w:r>
    </w:p>
    <w:p w14:paraId="7911926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硬件采购与原型制作</w:t>
      </w:r>
      <w:r>
        <w:rPr>
          <w:rFonts w:hint="eastAsia" w:ascii="宋体" w:hAnsi="宋体" w:eastAsia="宋体" w:cs="宋体"/>
          <w:b w:val="0"/>
          <w:bCs w:val="0"/>
          <w:i w:val="0"/>
          <w:iCs w:val="0"/>
          <w:color w:val="000000"/>
          <w:spacing w:val="0"/>
          <w:w w:val="100"/>
          <w:sz w:val="24"/>
          <w:szCs w:val="24"/>
          <w:vertAlign w:val="baseline"/>
        </w:rPr>
        <w:t>：1.25万元（核心零部件采购、原型机组装调试）</w:t>
      </w:r>
    </w:p>
    <w:p w14:paraId="0227DC7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试点验证与市场推广</w:t>
      </w:r>
      <w:r>
        <w:rPr>
          <w:rFonts w:hint="eastAsia" w:ascii="宋体" w:hAnsi="宋体" w:eastAsia="宋体" w:cs="宋体"/>
          <w:b w:val="0"/>
          <w:bCs w:val="0"/>
          <w:i w:val="0"/>
          <w:iCs w:val="0"/>
          <w:color w:val="000000"/>
          <w:spacing w:val="0"/>
          <w:w w:val="100"/>
          <w:sz w:val="24"/>
          <w:szCs w:val="24"/>
          <w:vertAlign w:val="baseline"/>
        </w:rPr>
        <w:t>：0.75万元（试点合作、展会、宣传物料）</w:t>
      </w:r>
    </w:p>
    <w:p w14:paraId="633F2BB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4. </w:t>
      </w:r>
      <w:r>
        <w:rPr>
          <w:rFonts w:hint="eastAsia" w:ascii="宋体" w:hAnsi="宋体" w:eastAsia="宋体" w:cs="宋体"/>
          <w:b/>
          <w:bCs/>
          <w:i w:val="0"/>
          <w:iCs w:val="0"/>
          <w:color w:val="000000"/>
          <w:spacing w:val="0"/>
          <w:w w:val="100"/>
          <w:sz w:val="24"/>
          <w:szCs w:val="24"/>
          <w:vertAlign w:val="baseline"/>
        </w:rPr>
        <w:t>人力与办公费用</w:t>
      </w:r>
      <w:r>
        <w:rPr>
          <w:rFonts w:hint="eastAsia" w:ascii="宋体" w:hAnsi="宋体" w:eastAsia="宋体" w:cs="宋体"/>
          <w:b w:val="0"/>
          <w:bCs w:val="0"/>
          <w:i w:val="0"/>
          <w:iCs w:val="0"/>
          <w:color w:val="000000"/>
          <w:spacing w:val="0"/>
          <w:w w:val="100"/>
          <w:sz w:val="24"/>
          <w:szCs w:val="24"/>
          <w:vertAlign w:val="baseline"/>
        </w:rPr>
        <w:t>：0.75万元（研发补助、场地、知识产权申请）</w:t>
      </w:r>
    </w:p>
    <w:p w14:paraId="057DFB9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1"/>
          <w:szCs w:val="21"/>
          <w:vertAlign w:val="baseline"/>
        </w:rPr>
      </w:pPr>
    </w:p>
    <w:p w14:paraId="37C2387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59" w:name="_Toc26181"/>
      <w:bookmarkStart w:id="160" w:name="_Toc4531"/>
      <w:r>
        <w:rPr>
          <w:rFonts w:hint="eastAsia" w:ascii="黑体" w:hAnsi="黑体" w:eastAsia="黑体" w:cs="黑体"/>
          <w:b/>
          <w:bCs/>
          <w:i w:val="0"/>
          <w:iCs w:val="0"/>
          <w:color w:val="000000"/>
          <w:spacing w:val="0"/>
          <w:w w:val="100"/>
          <w:sz w:val="32"/>
          <w:szCs w:val="32"/>
          <w:vertAlign w:val="baseline"/>
        </w:rPr>
        <w:t>8.2.2 成长期资金运用（20.0万元）</w:t>
      </w:r>
      <w:bookmarkEnd w:id="159"/>
      <w:bookmarkEnd w:id="160"/>
    </w:p>
    <w:p w14:paraId="4B2C81E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生产与供应链</w:t>
      </w:r>
      <w:r>
        <w:rPr>
          <w:rFonts w:hint="eastAsia" w:ascii="宋体" w:hAnsi="宋体" w:eastAsia="宋体" w:cs="宋体"/>
          <w:b w:val="0"/>
          <w:bCs w:val="0"/>
          <w:i w:val="0"/>
          <w:iCs w:val="0"/>
          <w:color w:val="000000"/>
          <w:spacing w:val="0"/>
          <w:w w:val="100"/>
          <w:sz w:val="24"/>
          <w:szCs w:val="24"/>
          <w:vertAlign w:val="baseline"/>
        </w:rPr>
        <w:t>：6.0万元（批量采购、库存、生产设备）</w:t>
      </w:r>
    </w:p>
    <w:p w14:paraId="039DD8B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市场推广与渠道建设</w:t>
      </w:r>
      <w:r>
        <w:rPr>
          <w:rFonts w:hint="eastAsia" w:ascii="宋体" w:hAnsi="宋体" w:eastAsia="宋体" w:cs="宋体"/>
          <w:b w:val="0"/>
          <w:bCs w:val="0"/>
          <w:i w:val="0"/>
          <w:iCs w:val="0"/>
          <w:color w:val="000000"/>
          <w:spacing w:val="0"/>
          <w:w w:val="100"/>
          <w:sz w:val="24"/>
          <w:szCs w:val="24"/>
          <w:vertAlign w:val="baseline"/>
        </w:rPr>
        <w:t>：6.0万元（展会广告、经销商建设、销售团队）</w:t>
      </w:r>
    </w:p>
    <w:p w14:paraId="0D555DB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3. </w:t>
      </w:r>
      <w:r>
        <w:rPr>
          <w:rFonts w:hint="eastAsia" w:ascii="宋体" w:hAnsi="宋体" w:eastAsia="宋体" w:cs="宋体"/>
          <w:b/>
          <w:bCs/>
          <w:i w:val="0"/>
          <w:iCs w:val="0"/>
          <w:color w:val="000000"/>
          <w:spacing w:val="0"/>
          <w:w w:val="100"/>
          <w:sz w:val="24"/>
          <w:szCs w:val="24"/>
          <w:vertAlign w:val="baseline"/>
        </w:rPr>
        <w:t>技术升级与产品迭代</w:t>
      </w:r>
      <w:r>
        <w:rPr>
          <w:rFonts w:hint="eastAsia" w:ascii="宋体" w:hAnsi="宋体" w:eastAsia="宋体" w:cs="宋体"/>
          <w:b w:val="0"/>
          <w:bCs w:val="0"/>
          <w:i w:val="0"/>
          <w:iCs w:val="0"/>
          <w:color w:val="000000"/>
          <w:spacing w:val="0"/>
          <w:w w:val="100"/>
          <w:sz w:val="24"/>
          <w:szCs w:val="24"/>
          <w:vertAlign w:val="baseline"/>
        </w:rPr>
        <w:t>：4.0万元（算法升级、新品开发、专利申请）</w:t>
      </w:r>
    </w:p>
    <w:p w14:paraId="2E09141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4. </w:t>
      </w:r>
      <w:r>
        <w:rPr>
          <w:rFonts w:hint="eastAsia" w:ascii="宋体" w:hAnsi="宋体" w:eastAsia="宋体" w:cs="宋体"/>
          <w:b/>
          <w:bCs/>
          <w:i w:val="0"/>
          <w:iCs w:val="0"/>
          <w:color w:val="000000"/>
          <w:spacing w:val="0"/>
          <w:w w:val="100"/>
          <w:sz w:val="24"/>
          <w:szCs w:val="24"/>
          <w:vertAlign w:val="baseline"/>
        </w:rPr>
        <w:t>人力与运营</w:t>
      </w:r>
      <w:r>
        <w:rPr>
          <w:rFonts w:hint="eastAsia" w:ascii="宋体" w:hAnsi="宋体" w:eastAsia="宋体" w:cs="宋体"/>
          <w:b w:val="0"/>
          <w:bCs w:val="0"/>
          <w:i w:val="0"/>
          <w:iCs w:val="0"/>
          <w:color w:val="000000"/>
          <w:spacing w:val="0"/>
          <w:w w:val="100"/>
          <w:sz w:val="24"/>
          <w:szCs w:val="24"/>
          <w:vertAlign w:val="baseline"/>
        </w:rPr>
        <w:t>：4.0万元（新增人员薪酬、办公场地、运营费用）</w:t>
      </w:r>
    </w:p>
    <w:p w14:paraId="55B94A6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1"/>
          <w:szCs w:val="21"/>
          <w:vertAlign w:val="baseline"/>
        </w:rPr>
      </w:pPr>
    </w:p>
    <w:p w14:paraId="737C9B6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61" w:name="_Toc27572"/>
      <w:bookmarkStart w:id="162" w:name="_Toc5312"/>
      <w:r>
        <w:rPr>
          <w:rFonts w:hint="eastAsia" w:ascii="黑体" w:hAnsi="黑体" w:eastAsia="黑体" w:cs="黑体"/>
          <w:b/>
          <w:bCs/>
          <w:i w:val="0"/>
          <w:iCs w:val="0"/>
          <w:color w:val="000000"/>
          <w:spacing w:val="0"/>
          <w:w w:val="100"/>
          <w:sz w:val="32"/>
          <w:szCs w:val="32"/>
          <w:vertAlign w:val="baseline"/>
        </w:rPr>
        <w:t>8.2.3 成熟期资金运用（50.0万元）</w:t>
      </w:r>
      <w:bookmarkEnd w:id="161"/>
      <w:bookmarkEnd w:id="162"/>
    </w:p>
    <w:p w14:paraId="45E6C4C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1. </w:t>
      </w:r>
      <w:r>
        <w:rPr>
          <w:rFonts w:hint="eastAsia" w:ascii="宋体" w:hAnsi="宋体" w:eastAsia="宋体" w:cs="宋体"/>
          <w:b/>
          <w:bCs/>
          <w:i w:val="0"/>
          <w:iCs w:val="0"/>
          <w:color w:val="000000"/>
          <w:spacing w:val="0"/>
          <w:w w:val="100"/>
          <w:sz w:val="24"/>
          <w:szCs w:val="24"/>
          <w:vertAlign w:val="baseline"/>
        </w:rPr>
        <w:t>市场扩张与出海</w:t>
      </w:r>
      <w:r>
        <w:rPr>
          <w:rFonts w:hint="eastAsia" w:ascii="宋体" w:hAnsi="宋体" w:eastAsia="宋体" w:cs="宋体"/>
          <w:b w:val="0"/>
          <w:bCs w:val="0"/>
          <w:i w:val="0"/>
          <w:iCs w:val="0"/>
          <w:color w:val="000000"/>
          <w:spacing w:val="0"/>
          <w:w w:val="100"/>
          <w:sz w:val="24"/>
          <w:szCs w:val="24"/>
          <w:vertAlign w:val="baseline"/>
        </w:rPr>
        <w:t>：15.0万元（区域拓展、海外调研、品牌推广）</w:t>
      </w:r>
    </w:p>
    <w:p w14:paraId="7531468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 xml:space="preserve">2. </w:t>
      </w:r>
      <w:r>
        <w:rPr>
          <w:rFonts w:hint="eastAsia" w:ascii="宋体" w:hAnsi="宋体" w:eastAsia="宋体" w:cs="宋体"/>
          <w:b/>
          <w:bCs/>
          <w:i w:val="0"/>
          <w:iCs w:val="0"/>
          <w:color w:val="000000"/>
          <w:spacing w:val="0"/>
          <w:w w:val="100"/>
          <w:sz w:val="24"/>
          <w:szCs w:val="24"/>
          <w:vertAlign w:val="baseline"/>
        </w:rPr>
        <w:t>新品研发与生态建设</w:t>
      </w:r>
      <w:r>
        <w:rPr>
          <w:rFonts w:hint="eastAsia" w:ascii="宋体" w:hAnsi="宋体" w:eastAsia="宋体" w:cs="宋体"/>
          <w:b w:val="0"/>
          <w:bCs w:val="0"/>
          <w:i w:val="0"/>
          <w:iCs w:val="0"/>
          <w:color w:val="000000"/>
          <w:spacing w:val="0"/>
          <w:w w:val="100"/>
          <w:sz w:val="24"/>
          <w:szCs w:val="24"/>
          <w:vertAlign w:val="baseline"/>
        </w:rPr>
        <w:t>：15.0万元（AI大模型、3D/多光谱技术、云端平台）</w:t>
      </w:r>
    </w:p>
    <w:p w14:paraId="473C90E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bCs/>
          <w:i w:val="0"/>
          <w:iCs w:val="0"/>
          <w:color w:val="000000"/>
          <w:spacing w:val="0"/>
          <w:w w:val="100"/>
          <w:sz w:val="24"/>
          <w:szCs w:val="24"/>
          <w:vertAlign w:val="baseline"/>
          <w:lang w:val="en-US" w:eastAsia="zh-CN"/>
        </w:rPr>
        <w:t>3.</w:t>
      </w:r>
      <w:r>
        <w:rPr>
          <w:rFonts w:hint="eastAsia" w:ascii="宋体" w:hAnsi="宋体" w:eastAsia="宋体" w:cs="宋体"/>
          <w:b/>
          <w:bCs/>
          <w:i w:val="0"/>
          <w:iCs w:val="0"/>
          <w:color w:val="000000"/>
          <w:spacing w:val="0"/>
          <w:w w:val="100"/>
          <w:sz w:val="24"/>
          <w:szCs w:val="24"/>
          <w:vertAlign w:val="baseline"/>
        </w:rPr>
        <w:t>产能升级与供应链</w:t>
      </w:r>
      <w:r>
        <w:rPr>
          <w:rFonts w:hint="eastAsia" w:ascii="宋体" w:hAnsi="宋体" w:eastAsia="宋体" w:cs="宋体"/>
          <w:b w:val="0"/>
          <w:bCs w:val="0"/>
          <w:i w:val="0"/>
          <w:iCs w:val="0"/>
          <w:color w:val="000000"/>
          <w:spacing w:val="0"/>
          <w:w w:val="100"/>
          <w:sz w:val="24"/>
          <w:szCs w:val="24"/>
          <w:vertAlign w:val="baseline"/>
        </w:rPr>
        <w:t>：10.0万元（产线升级、仓储建设、供应链优化）</w:t>
      </w:r>
    </w:p>
    <w:p w14:paraId="7FB8949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lang w:val="en-US" w:eastAsia="zh-CN"/>
        </w:rPr>
        <w:t xml:space="preserve">4. </w:t>
      </w:r>
      <w:r>
        <w:rPr>
          <w:rFonts w:hint="eastAsia" w:ascii="宋体" w:hAnsi="宋体" w:eastAsia="宋体" w:cs="宋体"/>
          <w:b/>
          <w:bCs/>
          <w:i w:val="0"/>
          <w:iCs w:val="0"/>
          <w:color w:val="000000"/>
          <w:spacing w:val="0"/>
          <w:w w:val="100"/>
          <w:sz w:val="24"/>
          <w:szCs w:val="24"/>
          <w:vertAlign w:val="baseline"/>
        </w:rPr>
        <w:t>团队与管理</w:t>
      </w:r>
      <w:r>
        <w:rPr>
          <w:rFonts w:hint="eastAsia" w:ascii="宋体" w:hAnsi="宋体" w:eastAsia="宋体" w:cs="宋体"/>
          <w:b w:val="0"/>
          <w:bCs w:val="0"/>
          <w:i w:val="0"/>
          <w:iCs w:val="0"/>
          <w:color w:val="000000"/>
          <w:spacing w:val="0"/>
          <w:w w:val="100"/>
          <w:sz w:val="24"/>
          <w:szCs w:val="24"/>
          <w:vertAlign w:val="baseline"/>
        </w:rPr>
        <w:t>：10.0万元（人才招聘、管理体系、上市筹备）</w:t>
      </w:r>
    </w:p>
    <w:p w14:paraId="13ACE83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rFonts w:hint="eastAsia" w:ascii="宋体" w:hAnsi="宋体" w:eastAsia="宋体" w:cs="宋体"/>
          <w:b w:val="0"/>
          <w:bCs w:val="0"/>
          <w:i w:val="0"/>
          <w:iCs w:val="0"/>
          <w:color w:val="000000"/>
          <w:spacing w:val="0"/>
          <w:w w:val="100"/>
          <w:sz w:val="21"/>
          <w:szCs w:val="21"/>
          <w:vertAlign w:val="baseline"/>
        </w:rPr>
      </w:pPr>
    </w:p>
    <w:p w14:paraId="5BAF244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bCs/>
          <w:i w:val="0"/>
          <w:iCs w:val="0"/>
          <w:color w:val="000000"/>
          <w:spacing w:val="0"/>
          <w:w w:val="100"/>
          <w:sz w:val="36"/>
          <w:szCs w:val="36"/>
          <w:vertAlign w:val="baseline"/>
        </w:rPr>
      </w:pPr>
    </w:p>
    <w:p w14:paraId="2F70815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63" w:name="_Toc4067"/>
      <w:bookmarkStart w:id="164" w:name="_Toc27313"/>
      <w:r>
        <w:rPr>
          <w:rFonts w:hint="eastAsia" w:ascii="黑体" w:hAnsi="黑体" w:eastAsia="黑体" w:cs="黑体"/>
          <w:b/>
          <w:bCs/>
          <w:i w:val="0"/>
          <w:iCs w:val="0"/>
          <w:color w:val="000000"/>
          <w:spacing w:val="0"/>
          <w:w w:val="100"/>
          <w:sz w:val="36"/>
          <w:szCs w:val="36"/>
          <w:vertAlign w:val="baseline"/>
        </w:rPr>
        <w:t>8.3 未来五年生产成本及利税计算</w:t>
      </w:r>
      <w:bookmarkEnd w:id="163"/>
      <w:bookmarkEnd w:id="164"/>
    </w:p>
    <w:p w14:paraId="7F23FAA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65" w:name="_Toc22531"/>
      <w:bookmarkStart w:id="166" w:name="_Toc12815"/>
      <w:r>
        <w:rPr>
          <w:rFonts w:hint="eastAsia" w:ascii="黑体" w:hAnsi="黑体" w:eastAsia="黑体" w:cs="黑体"/>
          <w:b/>
          <w:bCs/>
          <w:i w:val="0"/>
          <w:iCs w:val="0"/>
          <w:color w:val="000000"/>
          <w:spacing w:val="0"/>
          <w:w w:val="100"/>
          <w:sz w:val="32"/>
          <w:szCs w:val="32"/>
          <w:vertAlign w:val="baseline"/>
        </w:rPr>
        <w:t>8.3.1 生产与销售预测</w:t>
      </w:r>
      <w:r>
        <w:drawing>
          <wp:inline distT="0" distB="0" distL="114300" distR="114300">
            <wp:extent cx="4702175" cy="1122680"/>
            <wp:effectExtent l="0" t="0" r="9525" b="7620"/>
            <wp:docPr id="83" name="图片 6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1" descr="IMG_259"/>
                    <pic:cNvPicPr>
                      <a:picLocks noChangeAspect="1"/>
                    </pic:cNvPicPr>
                  </pic:nvPicPr>
                  <pic:blipFill>
                    <a:blip r:embed="rId42"/>
                    <a:stretch>
                      <a:fillRect/>
                    </a:stretch>
                  </pic:blipFill>
                  <pic:spPr>
                    <a:xfrm>
                      <a:off x="0" y="0"/>
                      <a:ext cx="4702175" cy="1122680"/>
                    </a:xfrm>
                    <a:prstGeom prst="rect">
                      <a:avLst/>
                    </a:prstGeom>
                    <a:noFill/>
                    <a:ln w="9525">
                      <a:noFill/>
                    </a:ln>
                  </pic:spPr>
                </pic:pic>
              </a:graphicData>
            </a:graphic>
          </wp:inline>
        </w:drawing>
      </w:r>
      <w:bookmarkEnd w:id="165"/>
      <w:bookmarkEnd w:id="166"/>
    </w:p>
    <w:p w14:paraId="03ACBB7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图8-4生产与销售预测图</w:t>
      </w:r>
      <w:r>
        <w:rPr>
          <w:rFonts w:hint="eastAsia" w:ascii="宋体" w:hAnsi="宋体" w:eastAsia="宋体" w:cs="宋体"/>
          <w:sz w:val="18"/>
          <w:szCs w:val="18"/>
          <w:lang w:eastAsia="zh-CN"/>
        </w:rPr>
        <w:t>）</w:t>
      </w:r>
    </w:p>
    <w:p w14:paraId="16EEE61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67" w:name="_Toc23251"/>
      <w:bookmarkStart w:id="168" w:name="_Toc23882"/>
      <w:r>
        <w:rPr>
          <w:rFonts w:hint="eastAsia" w:ascii="黑体" w:hAnsi="黑体" w:eastAsia="黑体" w:cs="黑体"/>
          <w:b/>
          <w:bCs/>
          <w:i w:val="0"/>
          <w:iCs w:val="0"/>
          <w:color w:val="000000"/>
          <w:spacing w:val="0"/>
          <w:w w:val="100"/>
          <w:sz w:val="32"/>
          <w:szCs w:val="32"/>
          <w:vertAlign w:val="baseline"/>
        </w:rPr>
        <w:t>8.3.2 生产成本预测</w:t>
      </w:r>
      <w:bookmarkEnd w:id="167"/>
      <w:bookmarkEnd w:id="168"/>
    </w:p>
    <w:p w14:paraId="1014CC0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r>
        <w:drawing>
          <wp:inline distT="0" distB="0" distL="114300" distR="114300">
            <wp:extent cx="4811395" cy="930910"/>
            <wp:effectExtent l="0" t="0" r="1905" b="8890"/>
            <wp:docPr id="78" name="图片 6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2" descr="IMG_260"/>
                    <pic:cNvPicPr>
                      <a:picLocks noChangeAspect="1"/>
                    </pic:cNvPicPr>
                  </pic:nvPicPr>
                  <pic:blipFill>
                    <a:blip r:embed="rId43"/>
                    <a:stretch>
                      <a:fillRect/>
                    </a:stretch>
                  </pic:blipFill>
                  <pic:spPr>
                    <a:xfrm>
                      <a:off x="0" y="0"/>
                      <a:ext cx="4811395" cy="930910"/>
                    </a:xfrm>
                    <a:prstGeom prst="rect">
                      <a:avLst/>
                    </a:prstGeom>
                    <a:noFill/>
                    <a:ln w="9525">
                      <a:noFill/>
                    </a:ln>
                  </pic:spPr>
                </pic:pic>
              </a:graphicData>
            </a:graphic>
          </wp:inline>
        </w:drawing>
      </w:r>
    </w:p>
    <w:p w14:paraId="756D677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图8-5生产成本预测图</w:t>
      </w:r>
      <w:r>
        <w:rPr>
          <w:rFonts w:hint="eastAsia" w:ascii="宋体" w:hAnsi="宋体" w:eastAsia="宋体" w:cs="宋体"/>
          <w:sz w:val="18"/>
          <w:szCs w:val="18"/>
          <w:lang w:eastAsia="zh-CN"/>
        </w:rPr>
        <w:t>）</w:t>
      </w:r>
    </w:p>
    <w:p w14:paraId="14D186F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69" w:name="_Toc16480"/>
      <w:bookmarkStart w:id="170" w:name="_Toc21938"/>
      <w:r>
        <w:rPr>
          <w:rFonts w:hint="eastAsia" w:ascii="黑体" w:hAnsi="黑体" w:eastAsia="黑体" w:cs="黑体"/>
          <w:b/>
          <w:bCs/>
          <w:i w:val="0"/>
          <w:iCs w:val="0"/>
          <w:color w:val="000000"/>
          <w:spacing w:val="0"/>
          <w:w w:val="100"/>
          <w:sz w:val="32"/>
          <w:szCs w:val="32"/>
          <w:vertAlign w:val="baseline"/>
        </w:rPr>
        <w:t>8.3.3 利税计算</w:t>
      </w:r>
      <w:bookmarkEnd w:id="169"/>
      <w:bookmarkEnd w:id="170"/>
    </w:p>
    <w:p w14:paraId="2FDAAD0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r>
        <w:drawing>
          <wp:inline distT="0" distB="0" distL="114300" distR="114300">
            <wp:extent cx="4759960" cy="998220"/>
            <wp:effectExtent l="0" t="0" r="2540" b="5080"/>
            <wp:docPr id="74" name="图片 6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3" descr="IMG_261"/>
                    <pic:cNvPicPr>
                      <a:picLocks noChangeAspect="1"/>
                    </pic:cNvPicPr>
                  </pic:nvPicPr>
                  <pic:blipFill>
                    <a:blip r:embed="rId44"/>
                    <a:stretch>
                      <a:fillRect/>
                    </a:stretch>
                  </pic:blipFill>
                  <pic:spPr>
                    <a:xfrm>
                      <a:off x="0" y="0"/>
                      <a:ext cx="4759960" cy="998220"/>
                    </a:xfrm>
                    <a:prstGeom prst="rect">
                      <a:avLst/>
                    </a:prstGeom>
                    <a:noFill/>
                    <a:ln w="9525">
                      <a:noFill/>
                    </a:ln>
                  </pic:spPr>
                </pic:pic>
              </a:graphicData>
            </a:graphic>
          </wp:inline>
        </w:drawing>
      </w:r>
    </w:p>
    <w:p w14:paraId="71A17E8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rPr>
          <w:rFonts w:hint="eastAsia" w:ascii="宋体" w:hAnsi="宋体" w:eastAsia="宋体" w:cs="宋体"/>
          <w:b/>
          <w:bCs/>
          <w:i w:val="0"/>
          <w:iCs w:val="0"/>
          <w:color w:val="000000"/>
          <w:spacing w:val="0"/>
          <w:w w:val="100"/>
          <w:sz w:val="36"/>
          <w:szCs w:val="36"/>
          <w:vertAlign w:val="baseline"/>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图8-6利税图</w:t>
      </w:r>
      <w:r>
        <w:rPr>
          <w:rFonts w:hint="eastAsia" w:ascii="宋体" w:hAnsi="宋体" w:eastAsia="宋体" w:cs="宋体"/>
          <w:sz w:val="18"/>
          <w:szCs w:val="18"/>
          <w:lang w:eastAsia="zh-CN"/>
        </w:rPr>
        <w:t>）</w:t>
      </w:r>
    </w:p>
    <w:p w14:paraId="37A3170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6BC55C2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3CBC47B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154E9C4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13CFE7A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71" w:name="_Toc1821"/>
      <w:bookmarkStart w:id="172" w:name="_Toc17392"/>
      <w:r>
        <w:rPr>
          <w:rFonts w:hint="eastAsia" w:ascii="黑体" w:hAnsi="黑体" w:eastAsia="黑体" w:cs="黑体"/>
          <w:b/>
          <w:bCs/>
          <w:i w:val="0"/>
          <w:iCs w:val="0"/>
          <w:color w:val="000000"/>
          <w:spacing w:val="0"/>
          <w:w w:val="100"/>
          <w:sz w:val="36"/>
          <w:szCs w:val="36"/>
          <w:vertAlign w:val="baseline"/>
        </w:rPr>
        <w:t>8.4 财务分析</w:t>
      </w:r>
      <w:bookmarkEnd w:id="171"/>
      <w:bookmarkEnd w:id="172"/>
    </w:p>
    <w:p w14:paraId="0A1D2DD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pPr>
      <w:bookmarkStart w:id="173" w:name="_Toc25159"/>
      <w:bookmarkStart w:id="174" w:name="_Toc18409"/>
      <w:r>
        <w:rPr>
          <w:rFonts w:hint="eastAsia" w:ascii="黑体" w:hAnsi="黑体" w:eastAsia="黑体" w:cs="黑体"/>
          <w:b/>
          <w:bCs/>
          <w:i w:val="0"/>
          <w:iCs w:val="0"/>
          <w:color w:val="000000"/>
          <w:spacing w:val="0"/>
          <w:w w:val="100"/>
          <w:sz w:val="32"/>
          <w:szCs w:val="32"/>
          <w:vertAlign w:val="baseline"/>
        </w:rPr>
        <w:t>8.4.1 盈利能力分析</w:t>
      </w:r>
      <w:r>
        <w:drawing>
          <wp:inline distT="0" distB="0" distL="114300" distR="114300">
            <wp:extent cx="4673600" cy="1090295"/>
            <wp:effectExtent l="0" t="0" r="0" b="1905"/>
            <wp:docPr id="75" name="图片 6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4" descr="IMG_262"/>
                    <pic:cNvPicPr>
                      <a:picLocks noChangeAspect="1"/>
                    </pic:cNvPicPr>
                  </pic:nvPicPr>
                  <pic:blipFill>
                    <a:blip r:embed="rId45"/>
                    <a:stretch>
                      <a:fillRect/>
                    </a:stretch>
                  </pic:blipFill>
                  <pic:spPr>
                    <a:xfrm>
                      <a:off x="0" y="0"/>
                      <a:ext cx="4673600" cy="1090295"/>
                    </a:xfrm>
                    <a:prstGeom prst="rect">
                      <a:avLst/>
                    </a:prstGeom>
                    <a:noFill/>
                    <a:ln w="9525">
                      <a:noFill/>
                    </a:ln>
                  </pic:spPr>
                </pic:pic>
              </a:graphicData>
            </a:graphic>
          </wp:inline>
        </w:drawing>
      </w:r>
      <w:bookmarkEnd w:id="173"/>
      <w:bookmarkEnd w:id="174"/>
    </w:p>
    <w:p w14:paraId="273AA3E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rPr>
          <w:rFonts w:hint="eastAsia" w:ascii="黑体" w:hAnsi="黑体" w:eastAsia="黑体" w:cs="黑体"/>
          <w:b/>
          <w:bCs/>
          <w:i w:val="0"/>
          <w:iCs w:val="0"/>
          <w:color w:val="000000"/>
          <w:spacing w:val="0"/>
          <w:w w:val="100"/>
          <w:sz w:val="32"/>
          <w:szCs w:val="32"/>
          <w:vertAlign w:val="baseline"/>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图8-7盈利能力分析图</w:t>
      </w:r>
      <w:r>
        <w:rPr>
          <w:rFonts w:hint="eastAsia" w:ascii="宋体" w:hAnsi="宋体" w:eastAsia="宋体" w:cs="宋体"/>
          <w:sz w:val="18"/>
          <w:szCs w:val="18"/>
          <w:lang w:eastAsia="zh-CN"/>
        </w:rPr>
        <w:t>）</w:t>
      </w:r>
    </w:p>
    <w:p w14:paraId="43311A0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75" w:name="_Toc5361"/>
      <w:bookmarkStart w:id="176" w:name="_Toc15807"/>
      <w:r>
        <w:rPr>
          <w:rFonts w:hint="eastAsia" w:ascii="黑体" w:hAnsi="黑体" w:eastAsia="黑体" w:cs="黑体"/>
          <w:b/>
          <w:bCs/>
          <w:i w:val="0"/>
          <w:iCs w:val="0"/>
          <w:color w:val="000000"/>
          <w:spacing w:val="0"/>
          <w:w w:val="100"/>
          <w:sz w:val="32"/>
          <w:szCs w:val="32"/>
          <w:vertAlign w:val="baseline"/>
        </w:rPr>
        <w:t>8.4.2 偿债能力分析</w:t>
      </w:r>
      <w:bookmarkEnd w:id="175"/>
      <w:bookmarkEnd w:id="176"/>
    </w:p>
    <w:p w14:paraId="38FEB0C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rPr>
          <w:rFonts w:hint="eastAsia" w:ascii="黑体" w:hAnsi="黑体" w:eastAsia="黑体" w:cs="黑体"/>
          <w:b/>
          <w:bCs/>
          <w:i w:val="0"/>
          <w:iCs w:val="0"/>
          <w:color w:val="000000"/>
          <w:spacing w:val="0"/>
          <w:w w:val="100"/>
          <w:sz w:val="32"/>
          <w:szCs w:val="32"/>
          <w:vertAlign w:val="baseline"/>
        </w:rPr>
      </w:pPr>
      <w:r>
        <w:drawing>
          <wp:inline distT="0" distB="0" distL="114300" distR="114300">
            <wp:extent cx="5267325" cy="1057275"/>
            <wp:effectExtent l="0" t="0" r="3175" b="9525"/>
            <wp:docPr id="79" name="图片 6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5" descr="IMG_263"/>
                    <pic:cNvPicPr>
                      <a:picLocks noChangeAspect="1"/>
                    </pic:cNvPicPr>
                  </pic:nvPicPr>
                  <pic:blipFill>
                    <a:blip r:embed="rId46"/>
                    <a:stretch>
                      <a:fillRect/>
                    </a:stretch>
                  </pic:blipFill>
                  <pic:spPr>
                    <a:xfrm>
                      <a:off x="0" y="0"/>
                      <a:ext cx="5267325" cy="1057275"/>
                    </a:xfrm>
                    <a:prstGeom prst="rect">
                      <a:avLst/>
                    </a:prstGeom>
                    <a:noFill/>
                    <a:ln w="9525">
                      <a:noFill/>
                    </a:ln>
                  </pic:spPr>
                </pic:pic>
              </a:graphicData>
            </a:graphic>
          </wp:inline>
        </w:drawing>
      </w:r>
      <w:r>
        <w:rPr>
          <w:rFonts w:hint="eastAsia"/>
          <w:lang w:eastAsia="zh-CN"/>
        </w:rPr>
        <w:t>、</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图8-8偿债能力分析图</w:t>
      </w:r>
      <w:r>
        <w:rPr>
          <w:rFonts w:hint="eastAsia" w:ascii="宋体" w:hAnsi="宋体" w:eastAsia="宋体" w:cs="宋体"/>
          <w:sz w:val="18"/>
          <w:szCs w:val="18"/>
          <w:lang w:eastAsia="zh-CN"/>
        </w:rPr>
        <w:t>）</w:t>
      </w:r>
    </w:p>
    <w:p w14:paraId="072906B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77" w:name="_Toc29388"/>
      <w:bookmarkStart w:id="178" w:name="_Toc21567"/>
      <w:r>
        <w:rPr>
          <w:rFonts w:hint="eastAsia" w:ascii="黑体" w:hAnsi="黑体" w:eastAsia="黑体" w:cs="黑体"/>
          <w:b/>
          <w:bCs/>
          <w:i w:val="0"/>
          <w:iCs w:val="0"/>
          <w:color w:val="000000"/>
          <w:spacing w:val="0"/>
          <w:w w:val="100"/>
          <w:sz w:val="32"/>
          <w:szCs w:val="32"/>
          <w:vertAlign w:val="baseline"/>
        </w:rPr>
        <w:t>8.4.3 营运能力分析</w:t>
      </w:r>
      <w:bookmarkEnd w:id="177"/>
      <w:bookmarkEnd w:id="178"/>
    </w:p>
    <w:p w14:paraId="03335BF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r>
        <w:drawing>
          <wp:inline distT="0" distB="0" distL="114300" distR="114300">
            <wp:extent cx="5267325" cy="1085850"/>
            <wp:effectExtent l="0" t="0" r="3175" b="6350"/>
            <wp:docPr id="80" name="图片 6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6" descr="IMG_264"/>
                    <pic:cNvPicPr>
                      <a:picLocks noChangeAspect="1"/>
                    </pic:cNvPicPr>
                  </pic:nvPicPr>
                  <pic:blipFill>
                    <a:blip r:embed="rId47"/>
                    <a:stretch>
                      <a:fillRect/>
                    </a:stretch>
                  </pic:blipFill>
                  <pic:spPr>
                    <a:xfrm>
                      <a:off x="0" y="0"/>
                      <a:ext cx="5267325" cy="1085850"/>
                    </a:xfrm>
                    <a:prstGeom prst="rect">
                      <a:avLst/>
                    </a:prstGeom>
                    <a:noFill/>
                    <a:ln w="9525">
                      <a:noFill/>
                    </a:ln>
                  </pic:spPr>
                </pic:pic>
              </a:graphicData>
            </a:graphic>
          </wp:inline>
        </w:drawing>
      </w:r>
    </w:p>
    <w:p w14:paraId="17D69E2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图8-9运营能力分析图</w:t>
      </w:r>
      <w:r>
        <w:rPr>
          <w:rFonts w:hint="eastAsia" w:ascii="宋体" w:hAnsi="宋体" w:eastAsia="宋体" w:cs="宋体"/>
          <w:sz w:val="18"/>
          <w:szCs w:val="18"/>
          <w:lang w:eastAsia="zh-CN"/>
        </w:rPr>
        <w:t>）</w:t>
      </w:r>
    </w:p>
    <w:p w14:paraId="5DEBCD1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32"/>
          <w:szCs w:val="32"/>
        </w:rPr>
      </w:pPr>
      <w:bookmarkStart w:id="179" w:name="_Toc31860"/>
      <w:bookmarkStart w:id="180" w:name="_Toc25870"/>
      <w:r>
        <w:rPr>
          <w:rFonts w:hint="eastAsia" w:ascii="黑体" w:hAnsi="黑体" w:eastAsia="黑体" w:cs="黑体"/>
          <w:b/>
          <w:bCs/>
          <w:i w:val="0"/>
          <w:iCs w:val="0"/>
          <w:color w:val="000000"/>
          <w:spacing w:val="0"/>
          <w:w w:val="100"/>
          <w:sz w:val="32"/>
          <w:szCs w:val="32"/>
          <w:vertAlign w:val="baseline"/>
        </w:rPr>
        <w:t>8.4.4 发展能力分析</w:t>
      </w:r>
      <w:bookmarkEnd w:id="179"/>
      <w:bookmarkEnd w:id="180"/>
    </w:p>
    <w:p w14:paraId="5C7D8267">
      <w:pPr>
        <w:pStyle w:val="12"/>
        <w:keepNext w:val="0"/>
        <w:keepLines w:val="0"/>
        <w:pageBreakBefore w:val="0"/>
        <w:widowControl/>
        <w:suppressLineNumbers w:val="0"/>
        <w:tabs>
          <w:tab w:val="left" w:pos="323"/>
        </w:tabs>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r>
        <w:drawing>
          <wp:inline distT="0" distB="0" distL="114300" distR="114300">
            <wp:extent cx="5267325" cy="1104900"/>
            <wp:effectExtent l="0" t="0" r="3175" b="0"/>
            <wp:docPr id="81" name="图片 6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7" descr="IMG_265"/>
                    <pic:cNvPicPr>
                      <a:picLocks noChangeAspect="1"/>
                    </pic:cNvPicPr>
                  </pic:nvPicPr>
                  <pic:blipFill>
                    <a:blip r:embed="rId48"/>
                    <a:stretch>
                      <a:fillRect/>
                    </a:stretch>
                  </pic:blipFill>
                  <pic:spPr>
                    <a:xfrm>
                      <a:off x="0" y="0"/>
                      <a:ext cx="5267325" cy="1104900"/>
                    </a:xfrm>
                    <a:prstGeom prst="rect">
                      <a:avLst/>
                    </a:prstGeom>
                    <a:noFill/>
                    <a:ln w="9525">
                      <a:noFill/>
                    </a:ln>
                  </pic:spPr>
                </pic:pic>
              </a:graphicData>
            </a:graphic>
          </wp:inline>
        </w:drawing>
      </w:r>
    </w:p>
    <w:p w14:paraId="2732563A">
      <w:pPr>
        <w:pStyle w:val="12"/>
        <w:keepNext w:val="0"/>
        <w:keepLines w:val="0"/>
        <w:pageBreakBefore w:val="0"/>
        <w:widowControl/>
        <w:suppressLineNumbers w:val="0"/>
        <w:tabs>
          <w:tab w:val="left" w:pos="323"/>
        </w:tabs>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图8-10发展能力分析图</w:t>
      </w:r>
      <w:r>
        <w:rPr>
          <w:rFonts w:hint="eastAsia" w:ascii="宋体" w:hAnsi="宋体" w:eastAsia="宋体" w:cs="宋体"/>
          <w:sz w:val="18"/>
          <w:szCs w:val="18"/>
          <w:lang w:eastAsia="zh-CN"/>
        </w:rPr>
        <w:t>）</w:t>
      </w:r>
    </w:p>
    <w:p w14:paraId="7068ED2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center"/>
        <w:textAlignment w:val="auto"/>
        <w:outlineLvl w:val="0"/>
        <w:rPr>
          <w:rFonts w:hint="eastAsia" w:ascii="黑体" w:hAnsi="黑体" w:eastAsia="黑体" w:cs="黑体"/>
          <w:sz w:val="44"/>
          <w:szCs w:val="44"/>
        </w:rPr>
      </w:pPr>
      <w:bookmarkStart w:id="181" w:name="_Toc10115"/>
      <w:bookmarkStart w:id="182" w:name="_Toc16551"/>
      <w:r>
        <w:rPr>
          <w:rFonts w:hint="eastAsia" w:ascii="黑体" w:hAnsi="黑体" w:eastAsia="黑体" w:cs="黑体"/>
          <w:b/>
          <w:bCs/>
          <w:i w:val="0"/>
          <w:iCs w:val="0"/>
          <w:color w:val="000000"/>
          <w:spacing w:val="0"/>
          <w:w w:val="100"/>
          <w:sz w:val="44"/>
          <w:szCs w:val="44"/>
          <w:vertAlign w:val="baseline"/>
        </w:rPr>
        <w:t>第九章 关键风险评估与控制</w:t>
      </w:r>
      <w:bookmarkEnd w:id="181"/>
      <w:bookmarkEnd w:id="182"/>
    </w:p>
    <w:p w14:paraId="0BAE605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83" w:name="_Toc21821"/>
      <w:bookmarkStart w:id="184" w:name="_Toc18161"/>
      <w:r>
        <w:rPr>
          <w:rFonts w:hint="eastAsia" w:ascii="黑体" w:hAnsi="黑体" w:eastAsia="黑体" w:cs="黑体"/>
          <w:b/>
          <w:bCs/>
          <w:i w:val="0"/>
          <w:iCs w:val="0"/>
          <w:color w:val="000000"/>
          <w:spacing w:val="0"/>
          <w:w w:val="100"/>
          <w:sz w:val="36"/>
          <w:szCs w:val="36"/>
          <w:vertAlign w:val="baseline"/>
        </w:rPr>
        <w:t>9.1 风险总体分析</w:t>
      </w:r>
      <w:bookmarkEnd w:id="183"/>
      <w:bookmarkEnd w:id="184"/>
    </w:p>
    <w:p w14:paraId="2721ECE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pPr>
      <w:r>
        <w:drawing>
          <wp:inline distT="0" distB="0" distL="114300" distR="114300">
            <wp:extent cx="5267325" cy="1647825"/>
            <wp:effectExtent l="0" t="0" r="3175" b="3175"/>
            <wp:docPr id="84" name="图片 6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8" descr="IMG_266"/>
                    <pic:cNvPicPr>
                      <a:picLocks noChangeAspect="1"/>
                    </pic:cNvPicPr>
                  </pic:nvPicPr>
                  <pic:blipFill>
                    <a:blip r:embed="rId49"/>
                    <a:stretch>
                      <a:fillRect/>
                    </a:stretch>
                  </pic:blipFill>
                  <pic:spPr>
                    <a:xfrm>
                      <a:off x="0" y="0"/>
                      <a:ext cx="5267325" cy="1647825"/>
                    </a:xfrm>
                    <a:prstGeom prst="rect">
                      <a:avLst/>
                    </a:prstGeom>
                    <a:noFill/>
                    <a:ln w="9525">
                      <a:noFill/>
                    </a:ln>
                  </pic:spPr>
                </pic:pic>
              </a:graphicData>
            </a:graphic>
          </wp:inline>
        </w:drawing>
      </w:r>
    </w:p>
    <w:p w14:paraId="606A5AC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图9-1风险总体分析图</w:t>
      </w:r>
      <w:r>
        <w:rPr>
          <w:rFonts w:hint="eastAsia" w:ascii="宋体" w:hAnsi="宋体" w:eastAsia="宋体" w:cs="宋体"/>
          <w:sz w:val="18"/>
          <w:szCs w:val="18"/>
          <w:lang w:eastAsia="zh-CN"/>
        </w:rPr>
        <w:t>）</w:t>
      </w:r>
    </w:p>
    <w:p w14:paraId="71FDC48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7AA844B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pPr>
      <w:bookmarkStart w:id="185" w:name="_Toc23746"/>
      <w:bookmarkStart w:id="186" w:name="_Toc27915"/>
      <w:r>
        <w:rPr>
          <w:rFonts w:hint="eastAsia" w:ascii="黑体" w:hAnsi="黑体" w:eastAsia="黑体" w:cs="黑体"/>
          <w:b/>
          <w:bCs/>
          <w:i w:val="0"/>
          <w:iCs w:val="0"/>
          <w:color w:val="000000"/>
          <w:spacing w:val="0"/>
          <w:w w:val="100"/>
          <w:sz w:val="36"/>
          <w:szCs w:val="36"/>
          <w:vertAlign w:val="baseline"/>
        </w:rPr>
        <w:t>9.2 技术风险与应对</w:t>
      </w:r>
      <w:bookmarkEnd w:id="185"/>
      <w:bookmarkEnd w:id="186"/>
    </w:p>
    <w:p w14:paraId="5D34727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风险描述</w:t>
      </w:r>
      <w:r>
        <w:rPr>
          <w:rFonts w:hint="eastAsia" w:ascii="黑体" w:hAnsi="黑体" w:eastAsia="黑体" w:cs="黑体"/>
          <w:b w:val="0"/>
          <w:bCs w:val="0"/>
          <w:i w:val="0"/>
          <w:iCs w:val="0"/>
          <w:color w:val="000000"/>
          <w:spacing w:val="0"/>
          <w:w w:val="100"/>
          <w:sz w:val="28"/>
          <w:szCs w:val="28"/>
          <w:vertAlign w:val="baseline"/>
        </w:rPr>
        <w:t>：</w:t>
      </w:r>
    </w:p>
    <w:p w14:paraId="432EF6C3">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算法在极端复杂现场环境下识别精度会下降，而达不到预期；</w:t>
      </w:r>
    </w:p>
    <w:p w14:paraId="5B38D1C2">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行业技术迭代快速，新产品新技术出现后，我们现有的技术容易跟不上；</w:t>
      </w:r>
    </w:p>
    <w:p w14:paraId="74077180">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核心研发人员可能会流失，导致之后技术更新改进工作没法顺利推进。</w:t>
      </w:r>
    </w:p>
    <w:p w14:paraId="62AEF0D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应对措施</w:t>
      </w:r>
      <w:r>
        <w:rPr>
          <w:rFonts w:hint="eastAsia" w:ascii="黑体" w:hAnsi="黑体" w:eastAsia="黑体" w:cs="黑体"/>
          <w:b w:val="0"/>
          <w:bCs w:val="0"/>
          <w:i w:val="0"/>
          <w:iCs w:val="0"/>
          <w:color w:val="000000"/>
          <w:spacing w:val="0"/>
          <w:w w:val="100"/>
          <w:sz w:val="28"/>
          <w:szCs w:val="28"/>
          <w:vertAlign w:val="baseline"/>
        </w:rPr>
        <w:t>：</w:t>
      </w:r>
    </w:p>
    <w:p w14:paraId="65ACD348">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持续加大研发的投入，建立现场数据收集与快速迭代机制，推进算法持续优化；</w:t>
      </w:r>
    </w:p>
    <w:p w14:paraId="245A7156">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跟踪行业前沿技术，与高校实验室建立长期合作，提前布局新技术；</w:t>
      </w:r>
    </w:p>
    <w:p w14:paraId="767D498B">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申请核心算法与光学设计专利，构建知识产权壁垒；</w:t>
      </w:r>
    </w:p>
    <w:p w14:paraId="7228426F">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建立人才激励机制，提供股权激励与发展空间，稳定核心团队。</w:t>
      </w:r>
    </w:p>
    <w:p w14:paraId="0963FFB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b/>
          <w:bCs/>
          <w:i w:val="0"/>
          <w:iCs w:val="0"/>
          <w:color w:val="000000"/>
          <w:spacing w:val="0"/>
          <w:w w:val="100"/>
          <w:sz w:val="36"/>
          <w:szCs w:val="36"/>
          <w:vertAlign w:val="baseline"/>
        </w:rPr>
      </w:pPr>
    </w:p>
    <w:p w14:paraId="6346145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87" w:name="_Toc32051"/>
      <w:bookmarkStart w:id="188" w:name="_Toc475"/>
      <w:r>
        <w:rPr>
          <w:rFonts w:hint="eastAsia" w:ascii="黑体" w:hAnsi="黑体" w:eastAsia="黑体" w:cs="黑体"/>
          <w:b/>
          <w:bCs/>
          <w:i w:val="0"/>
          <w:iCs w:val="0"/>
          <w:color w:val="000000"/>
          <w:spacing w:val="0"/>
          <w:w w:val="100"/>
          <w:sz w:val="36"/>
          <w:szCs w:val="36"/>
          <w:vertAlign w:val="baseline"/>
        </w:rPr>
        <w:t>9.3 市场风险与应对</w:t>
      </w:r>
      <w:bookmarkEnd w:id="187"/>
      <w:bookmarkEnd w:id="188"/>
    </w:p>
    <w:p w14:paraId="13E36EA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风险描述</w:t>
      </w:r>
      <w:r>
        <w:rPr>
          <w:rFonts w:hint="eastAsia" w:ascii="黑体" w:hAnsi="黑体" w:eastAsia="黑体" w:cs="黑体"/>
          <w:b w:val="0"/>
          <w:bCs w:val="0"/>
          <w:i w:val="0"/>
          <w:iCs w:val="0"/>
          <w:color w:val="000000"/>
          <w:spacing w:val="0"/>
          <w:w w:val="100"/>
          <w:sz w:val="28"/>
          <w:szCs w:val="28"/>
          <w:vertAlign w:val="baseline"/>
        </w:rPr>
        <w:t>：</w:t>
      </w:r>
    </w:p>
    <w:p w14:paraId="2108FB1A">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竞争对手跟进推出同类产品，引发价格战，压缩利润空间；</w:t>
      </w:r>
    </w:p>
    <w:p w14:paraId="1B69DB1E">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中小企业对智能质检认知不足，市场拓展速度不及预期；</w:t>
      </w:r>
    </w:p>
    <w:p w14:paraId="7935AEB8">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下游行业波动，钢材市场需求下滑，影响客户采购意愿。</w:t>
      </w:r>
    </w:p>
    <w:p w14:paraId="4B3C273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应对措施</w:t>
      </w:r>
      <w:r>
        <w:rPr>
          <w:rFonts w:hint="eastAsia" w:ascii="黑体" w:hAnsi="黑体" w:eastAsia="黑体" w:cs="黑体"/>
          <w:b w:val="0"/>
          <w:bCs w:val="0"/>
          <w:i w:val="0"/>
          <w:iCs w:val="0"/>
          <w:color w:val="000000"/>
          <w:spacing w:val="0"/>
          <w:w w:val="100"/>
          <w:sz w:val="28"/>
          <w:szCs w:val="28"/>
          <w:vertAlign w:val="baseline"/>
        </w:rPr>
        <w:t>：</w:t>
      </w:r>
    </w:p>
    <w:p w14:paraId="6AEE5E17">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强化差异化竞争，深耕细分场景，打造技术、成本、服务综合优势，避免同质化价格战；</w:t>
      </w:r>
    </w:p>
    <w:p w14:paraId="0CC29959">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加强市场教育，通过免费试用、标杆案例、政策补贴等方式降低客户决策门槛；</w:t>
      </w:r>
    </w:p>
    <w:p w14:paraId="76AE0C05">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拓展多行业应用，从钢材延伸到铝、铜等金属材料，分散单一行业风险；</w:t>
      </w:r>
    </w:p>
    <w:p w14:paraId="47D1882B">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灵活调整价格策略，推出租赁、按次付费等模式，适应不同经济环境。</w:t>
      </w:r>
    </w:p>
    <w:p w14:paraId="2523E0C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jc w:val="both"/>
        <w:textAlignment w:val="auto"/>
        <w:rPr>
          <w:sz w:val="24"/>
          <w:szCs w:val="24"/>
        </w:rPr>
      </w:pPr>
    </w:p>
    <w:p w14:paraId="7E6EF34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89" w:name="_Toc22515"/>
      <w:bookmarkStart w:id="190" w:name="_Toc31656"/>
      <w:r>
        <w:rPr>
          <w:rFonts w:hint="eastAsia" w:ascii="黑体" w:hAnsi="黑体" w:eastAsia="黑体" w:cs="黑体"/>
          <w:b/>
          <w:bCs/>
          <w:i w:val="0"/>
          <w:iCs w:val="0"/>
          <w:color w:val="000000"/>
          <w:spacing w:val="0"/>
          <w:w w:val="100"/>
          <w:sz w:val="36"/>
          <w:szCs w:val="36"/>
          <w:vertAlign w:val="baseline"/>
        </w:rPr>
        <w:t>9.4 管理风险与应对</w:t>
      </w:r>
      <w:bookmarkEnd w:id="189"/>
      <w:bookmarkEnd w:id="190"/>
    </w:p>
    <w:p w14:paraId="0F4AFF0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风险描述</w:t>
      </w:r>
      <w:r>
        <w:rPr>
          <w:rFonts w:hint="eastAsia" w:ascii="黑体" w:hAnsi="黑体" w:eastAsia="黑体" w:cs="黑体"/>
          <w:b w:val="0"/>
          <w:bCs w:val="0"/>
          <w:i w:val="0"/>
          <w:iCs w:val="0"/>
          <w:color w:val="000000"/>
          <w:spacing w:val="0"/>
          <w:w w:val="100"/>
          <w:sz w:val="28"/>
          <w:szCs w:val="28"/>
          <w:vertAlign w:val="baseline"/>
        </w:rPr>
        <w:t>：</w:t>
      </w:r>
    </w:p>
    <w:p w14:paraId="69A97B51">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团队成员以学生为主，缺乏企业运营与市场经验，可能出现决策失误；</w:t>
      </w:r>
    </w:p>
    <w:p w14:paraId="411D3E3E">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团队规模扩大后，管理效率下降，沟通协作不畅；</w:t>
      </w:r>
    </w:p>
    <w:p w14:paraId="70B755BA">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核心岗位人才流失，影响业务推进。</w:t>
      </w:r>
    </w:p>
    <w:p w14:paraId="42544B0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应对措施</w:t>
      </w:r>
      <w:r>
        <w:rPr>
          <w:rFonts w:hint="eastAsia" w:ascii="黑体" w:hAnsi="黑体" w:eastAsia="黑体" w:cs="黑体"/>
          <w:b w:val="0"/>
          <w:bCs w:val="0"/>
          <w:i w:val="0"/>
          <w:iCs w:val="0"/>
          <w:color w:val="000000"/>
          <w:spacing w:val="0"/>
          <w:w w:val="100"/>
          <w:sz w:val="28"/>
          <w:szCs w:val="28"/>
          <w:vertAlign w:val="baseline"/>
        </w:rPr>
        <w:t>：</w:t>
      </w:r>
    </w:p>
    <w:p w14:paraId="2085A1B4">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聘请行业专家与创业导师提供指导，重大决策集体讨论，科学决策；</w:t>
      </w:r>
    </w:p>
    <w:p w14:paraId="0573A36A">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建立规范的管理制度与流程，明确分工与职责，提升管理效率；</w:t>
      </w:r>
    </w:p>
    <w:p w14:paraId="3070FE81">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pPr>
      <w:r>
        <w:rPr>
          <w:rFonts w:hint="eastAsia" w:ascii="宋体" w:hAnsi="宋体" w:eastAsia="宋体" w:cs="宋体"/>
          <w:b w:val="0"/>
          <w:bCs w:val="0"/>
          <w:i w:val="0"/>
          <w:iCs w:val="0"/>
          <w:color w:val="000000"/>
          <w:spacing w:val="0"/>
          <w:w w:val="100"/>
          <w:sz w:val="24"/>
          <w:szCs w:val="24"/>
          <w:vertAlign w:val="baseline"/>
        </w:rPr>
        <w:t>完善薪酬激励体系，提供成长空间与股权激励，增强团队凝聚力</w:t>
      </w:r>
      <w:r>
        <w:rPr>
          <w:rFonts w:hint="eastAsia" w:ascii="宋体" w:hAnsi="宋体" w:eastAsia="宋体" w:cs="宋体"/>
          <w:b w:val="0"/>
          <w:bCs w:val="0"/>
          <w:i w:val="0"/>
          <w:iCs w:val="0"/>
          <w:color w:val="000000"/>
          <w:spacing w:val="0"/>
          <w:w w:val="100"/>
          <w:sz w:val="21"/>
          <w:szCs w:val="21"/>
          <w:vertAlign w:val="baseline"/>
        </w:rPr>
        <w:t>；</w:t>
      </w:r>
    </w:p>
    <w:p w14:paraId="555875C2">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pPr>
      <w:r>
        <w:rPr>
          <w:rFonts w:hint="eastAsia" w:ascii="宋体" w:hAnsi="宋体" w:eastAsia="宋体" w:cs="宋体"/>
          <w:b w:val="0"/>
          <w:bCs w:val="0"/>
          <w:i w:val="0"/>
          <w:iCs w:val="0"/>
          <w:color w:val="000000"/>
          <w:spacing w:val="0"/>
          <w:w w:val="100"/>
          <w:sz w:val="21"/>
          <w:szCs w:val="21"/>
          <w:vertAlign w:val="baseline"/>
        </w:rPr>
        <w:t>建立人才储备机制，与高校合作培养，持续引进优秀人才。</w:t>
      </w:r>
    </w:p>
    <w:p w14:paraId="085D2B8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jc w:val="both"/>
        <w:textAlignment w:val="auto"/>
      </w:pPr>
    </w:p>
    <w:p w14:paraId="34F38CA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91" w:name="_Toc4257"/>
      <w:bookmarkStart w:id="192" w:name="_Toc23687"/>
      <w:r>
        <w:rPr>
          <w:rFonts w:hint="eastAsia" w:ascii="黑体" w:hAnsi="黑体" w:eastAsia="黑体" w:cs="黑体"/>
          <w:b/>
          <w:bCs/>
          <w:i w:val="0"/>
          <w:iCs w:val="0"/>
          <w:color w:val="000000"/>
          <w:spacing w:val="0"/>
          <w:w w:val="100"/>
          <w:sz w:val="36"/>
          <w:szCs w:val="36"/>
          <w:vertAlign w:val="baseline"/>
        </w:rPr>
        <w:t>9.5 法律风险与应对</w:t>
      </w:r>
      <w:bookmarkEnd w:id="191"/>
      <w:bookmarkEnd w:id="192"/>
    </w:p>
    <w:p w14:paraId="6DEE399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风险描述</w:t>
      </w:r>
      <w:r>
        <w:rPr>
          <w:rFonts w:hint="eastAsia" w:ascii="黑体" w:hAnsi="黑体" w:eastAsia="黑体" w:cs="黑体"/>
          <w:b w:val="0"/>
          <w:bCs w:val="0"/>
          <w:i w:val="0"/>
          <w:iCs w:val="0"/>
          <w:color w:val="000000"/>
          <w:spacing w:val="0"/>
          <w:w w:val="100"/>
          <w:sz w:val="28"/>
          <w:szCs w:val="28"/>
          <w:vertAlign w:val="baseline"/>
        </w:rPr>
        <w:t>：</w:t>
      </w:r>
    </w:p>
    <w:p w14:paraId="0F476424">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核心技术涉嫌侵犯他人知识产权；</w:t>
      </w:r>
    </w:p>
    <w:p w14:paraId="25E0BEA4">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产品未通过相关检测认证，面临合规风险；</w:t>
      </w:r>
    </w:p>
    <w:p w14:paraId="273462AD">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与客户、供应商合同条款不严谨，引发法律纠纷。</w:t>
      </w:r>
    </w:p>
    <w:p w14:paraId="319C43A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应对措施</w:t>
      </w:r>
      <w:r>
        <w:rPr>
          <w:rFonts w:hint="eastAsia" w:ascii="黑体" w:hAnsi="黑体" w:eastAsia="黑体" w:cs="黑体"/>
          <w:b w:val="0"/>
          <w:bCs w:val="0"/>
          <w:i w:val="0"/>
          <w:iCs w:val="0"/>
          <w:color w:val="000000"/>
          <w:spacing w:val="0"/>
          <w:w w:val="100"/>
          <w:sz w:val="28"/>
          <w:szCs w:val="28"/>
          <w:vertAlign w:val="baseline"/>
        </w:rPr>
        <w:t>：</w:t>
      </w:r>
    </w:p>
    <w:p w14:paraId="69D09272">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加强知识产权管理，及时申请专利与软件著作权，定期排查侵权风险；</w:t>
      </w:r>
    </w:p>
    <w:p w14:paraId="0C18430E">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严格按照行业标准开发产品，主动申请相关检测认证，确保合规；</w:t>
      </w:r>
    </w:p>
    <w:p w14:paraId="60B5E4DC">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建立合同审核制度，重要合同经专业律师审核，规范商务行为；</w:t>
      </w:r>
    </w:p>
    <w:p w14:paraId="1181291F">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合规经营，遵守劳动、税务、环保等各项法律法规。</w:t>
      </w:r>
    </w:p>
    <w:p w14:paraId="4C1FC70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rightChars="0"/>
        <w:jc w:val="both"/>
        <w:textAlignment w:val="auto"/>
      </w:pPr>
    </w:p>
    <w:p w14:paraId="6AF9C16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93" w:name="_Toc20895"/>
      <w:bookmarkStart w:id="194" w:name="_Toc11492"/>
      <w:r>
        <w:rPr>
          <w:rFonts w:hint="eastAsia" w:ascii="黑体" w:hAnsi="黑体" w:eastAsia="黑体" w:cs="黑体"/>
          <w:b/>
          <w:bCs/>
          <w:i w:val="0"/>
          <w:iCs w:val="0"/>
          <w:color w:val="000000"/>
          <w:spacing w:val="0"/>
          <w:w w:val="100"/>
          <w:sz w:val="36"/>
          <w:szCs w:val="36"/>
          <w:vertAlign w:val="baseline"/>
        </w:rPr>
        <w:t>9.6 供应链风险与应对</w:t>
      </w:r>
      <w:bookmarkEnd w:id="193"/>
      <w:bookmarkEnd w:id="194"/>
    </w:p>
    <w:p w14:paraId="105A8A8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r>
        <w:rPr>
          <w:rFonts w:hint="eastAsia" w:ascii="黑体" w:hAnsi="黑体" w:eastAsia="黑体" w:cs="黑体"/>
          <w:b/>
          <w:bCs/>
          <w:i w:val="0"/>
          <w:iCs w:val="0"/>
          <w:color w:val="000000"/>
          <w:spacing w:val="0"/>
          <w:w w:val="100"/>
          <w:sz w:val="28"/>
          <w:szCs w:val="28"/>
          <w:vertAlign w:val="baseline"/>
        </w:rPr>
        <w:t>风险描述</w:t>
      </w:r>
      <w:r>
        <w:rPr>
          <w:rFonts w:hint="eastAsia" w:ascii="黑体" w:hAnsi="黑体" w:eastAsia="黑体" w:cs="黑体"/>
          <w:b w:val="0"/>
          <w:bCs w:val="0"/>
          <w:i w:val="0"/>
          <w:iCs w:val="0"/>
          <w:color w:val="000000"/>
          <w:spacing w:val="0"/>
          <w:w w:val="100"/>
          <w:sz w:val="28"/>
          <w:szCs w:val="28"/>
          <w:vertAlign w:val="baseline"/>
        </w:rPr>
        <w:t>：</w:t>
      </w:r>
    </w:p>
    <w:p w14:paraId="48E23964">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核心零部件（工业相机、芯片）供应短缺或交货延迟；</w:t>
      </w:r>
    </w:p>
    <w:p w14:paraId="670A6327">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供应商产品质量不稳定，影响成品合格率；</w:t>
      </w:r>
    </w:p>
    <w:p w14:paraId="4B41FC48">
      <w:pPr>
        <w:pStyle w:val="12"/>
        <w:keepNext w:val="0"/>
        <w:keepLines w:val="0"/>
        <w:pageBreakBefore w:val="0"/>
        <w:widowControl/>
        <w:numPr>
          <w:ilvl w:val="0"/>
          <w:numId w:val="1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原材料价格上涨，导致成本上升、利润下降。</w:t>
      </w:r>
    </w:p>
    <w:p w14:paraId="0314938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应对措施</w:t>
      </w:r>
      <w:r>
        <w:rPr>
          <w:rFonts w:hint="eastAsia" w:ascii="黑体" w:hAnsi="黑体" w:eastAsia="黑体" w:cs="黑体"/>
          <w:b w:val="0"/>
          <w:bCs w:val="0"/>
          <w:i w:val="0"/>
          <w:iCs w:val="0"/>
          <w:color w:val="000000"/>
          <w:spacing w:val="0"/>
          <w:w w:val="100"/>
          <w:sz w:val="28"/>
          <w:szCs w:val="28"/>
          <w:vertAlign w:val="baseline"/>
        </w:rPr>
        <w:t>：</w:t>
      </w:r>
    </w:p>
    <w:p w14:paraId="48A8C27F">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核心零部件选择2-3家备选供应商，建立多元化供应体系，避免单一依赖；</w:t>
      </w:r>
    </w:p>
    <w:p w14:paraId="13695273">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与核心供应商签订长期合作协议，锁定价格与产能，保障供应稳定；</w:t>
      </w:r>
    </w:p>
    <w:p w14:paraId="6C4A145E">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建立供应商质量评估体系，严格来料的检验，确保零部件的质量；</w:t>
      </w:r>
    </w:p>
    <w:p w14:paraId="5FDAD8C2">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优化库存管理，保持合理安全库存；通过规模化采购、技术降本消化价格上涨压力。</w:t>
      </w:r>
    </w:p>
    <w:p w14:paraId="793A9A8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bCs/>
          <w:i w:val="0"/>
          <w:iCs w:val="0"/>
          <w:color w:val="000000"/>
          <w:spacing w:val="0"/>
          <w:w w:val="100"/>
          <w:sz w:val="36"/>
          <w:szCs w:val="36"/>
          <w:vertAlign w:val="baseline"/>
        </w:rPr>
      </w:pPr>
    </w:p>
    <w:p w14:paraId="7D7B8D7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195" w:name="_Toc2416"/>
      <w:bookmarkStart w:id="196" w:name="_Toc15383"/>
      <w:r>
        <w:rPr>
          <w:rFonts w:hint="eastAsia" w:ascii="黑体" w:hAnsi="黑体" w:eastAsia="黑体" w:cs="黑体"/>
          <w:b/>
          <w:bCs/>
          <w:i w:val="0"/>
          <w:iCs w:val="0"/>
          <w:color w:val="000000"/>
          <w:spacing w:val="0"/>
          <w:w w:val="100"/>
          <w:sz w:val="36"/>
          <w:szCs w:val="36"/>
          <w:vertAlign w:val="baseline"/>
        </w:rPr>
        <w:t>9.7 财务风险与应对</w:t>
      </w:r>
      <w:bookmarkEnd w:id="195"/>
      <w:bookmarkEnd w:id="196"/>
    </w:p>
    <w:p w14:paraId="4AA8FDA2">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风险描述</w:t>
      </w:r>
      <w:r>
        <w:rPr>
          <w:rFonts w:hint="eastAsia" w:ascii="黑体" w:hAnsi="黑体" w:eastAsia="黑体" w:cs="黑体"/>
          <w:b w:val="0"/>
          <w:bCs w:val="0"/>
          <w:i w:val="0"/>
          <w:iCs w:val="0"/>
          <w:color w:val="000000"/>
          <w:spacing w:val="0"/>
          <w:w w:val="100"/>
          <w:sz w:val="28"/>
          <w:szCs w:val="28"/>
          <w:vertAlign w:val="baseline"/>
        </w:rPr>
        <w:t>：</w:t>
      </w:r>
    </w:p>
    <w:p w14:paraId="0A6BACA5">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融资进度不及预期，资金不足影响研发与市场拓展；</w:t>
      </w:r>
    </w:p>
    <w:p w14:paraId="0521475B">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成本控制不当，研发、营销费用超支，导致亏损；</w:t>
      </w:r>
    </w:p>
    <w:p w14:paraId="5D8E7A06">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应收账款回收过慢，现金流紧张，影响正常运营。</w:t>
      </w:r>
    </w:p>
    <w:p w14:paraId="125F173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黑体" w:hAnsi="黑体" w:eastAsia="黑体" w:cs="黑体"/>
          <w:sz w:val="28"/>
          <w:szCs w:val="28"/>
        </w:rPr>
      </w:pPr>
      <w:r>
        <w:rPr>
          <w:rFonts w:hint="eastAsia" w:ascii="黑体" w:hAnsi="黑体" w:eastAsia="黑体" w:cs="黑体"/>
          <w:b/>
          <w:bCs/>
          <w:i w:val="0"/>
          <w:iCs w:val="0"/>
          <w:color w:val="000000"/>
          <w:spacing w:val="0"/>
          <w:w w:val="100"/>
          <w:sz w:val="28"/>
          <w:szCs w:val="28"/>
          <w:vertAlign w:val="baseline"/>
        </w:rPr>
        <w:t>应对措施</w:t>
      </w:r>
      <w:r>
        <w:rPr>
          <w:rFonts w:hint="eastAsia" w:ascii="黑体" w:hAnsi="黑体" w:eastAsia="黑体" w:cs="黑体"/>
          <w:b w:val="0"/>
          <w:bCs w:val="0"/>
          <w:i w:val="0"/>
          <w:iCs w:val="0"/>
          <w:color w:val="000000"/>
          <w:spacing w:val="0"/>
          <w:w w:val="100"/>
          <w:sz w:val="28"/>
          <w:szCs w:val="28"/>
          <w:vertAlign w:val="baseline"/>
        </w:rPr>
        <w:t>：</w:t>
      </w:r>
    </w:p>
    <w:p w14:paraId="036ABA58">
      <w:pPr>
        <w:pStyle w:val="12"/>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拓宽融资渠道，整合政府补贴、创业贷款、风险投资等多种资金来源；</w:t>
      </w:r>
    </w:p>
    <w:p w14:paraId="7D65A129">
      <w:pPr>
        <w:pStyle w:val="12"/>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建立全面预算管理制度，严格控制各项费用，定期复盘成本执行情况；</w:t>
      </w:r>
    </w:p>
    <w:p w14:paraId="0121A9B4">
      <w:pPr>
        <w:pStyle w:val="12"/>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加强现金流管理，制定资金计划，合理控制库存与应收账款；</w:t>
      </w:r>
    </w:p>
    <w:p w14:paraId="568A4477">
      <w:pPr>
        <w:pStyle w:val="12"/>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420" w:leftChars="200" w:right="0" w:rightChars="0" w:firstLine="0" w:firstLineChars="0"/>
        <w:jc w:val="both"/>
        <w:textAlignment w:val="auto"/>
        <w:rPr>
          <w:sz w:val="24"/>
          <w:szCs w:val="24"/>
        </w:rPr>
      </w:pPr>
      <w:r>
        <w:rPr>
          <w:rFonts w:hint="eastAsia" w:ascii="宋体" w:hAnsi="宋体" w:eastAsia="宋体" w:cs="宋体"/>
          <w:b w:val="0"/>
          <w:bCs w:val="0"/>
          <w:i w:val="0"/>
          <w:iCs w:val="0"/>
          <w:color w:val="000000"/>
          <w:spacing w:val="0"/>
          <w:w w:val="100"/>
          <w:sz w:val="24"/>
          <w:szCs w:val="24"/>
          <w:vertAlign w:val="baseline"/>
        </w:rPr>
        <w:t>采用轻资产运营模式，降低固定成本投入，提升抗风险能力。</w:t>
      </w:r>
    </w:p>
    <w:p w14:paraId="4935BEF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rPr>
          <w:rFonts w:hint="eastAsia" w:ascii="黑体" w:hAnsi="黑体" w:eastAsia="黑体" w:cs="黑体"/>
          <w:b/>
          <w:bCs/>
          <w:i w:val="0"/>
          <w:iCs w:val="0"/>
          <w:color w:val="000000"/>
          <w:spacing w:val="0"/>
          <w:w w:val="100"/>
          <w:sz w:val="44"/>
          <w:szCs w:val="44"/>
          <w:vertAlign w:val="baseline"/>
        </w:rPr>
      </w:pPr>
    </w:p>
    <w:p w14:paraId="0586548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rPr>
          <w:rFonts w:hint="eastAsia" w:ascii="黑体" w:hAnsi="黑体" w:eastAsia="黑体" w:cs="黑体"/>
          <w:b/>
          <w:bCs/>
          <w:i w:val="0"/>
          <w:iCs w:val="0"/>
          <w:color w:val="000000"/>
          <w:spacing w:val="0"/>
          <w:w w:val="100"/>
          <w:sz w:val="44"/>
          <w:szCs w:val="44"/>
          <w:vertAlign w:val="baseline"/>
        </w:rPr>
      </w:pPr>
    </w:p>
    <w:p w14:paraId="39272AEF">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rPr>
          <w:rFonts w:hint="eastAsia" w:ascii="黑体" w:hAnsi="黑体" w:eastAsia="黑体" w:cs="黑体"/>
          <w:b/>
          <w:bCs/>
          <w:i w:val="0"/>
          <w:iCs w:val="0"/>
          <w:color w:val="000000"/>
          <w:spacing w:val="0"/>
          <w:w w:val="100"/>
          <w:sz w:val="44"/>
          <w:szCs w:val="44"/>
          <w:vertAlign w:val="baseline"/>
        </w:rPr>
      </w:pPr>
    </w:p>
    <w:p w14:paraId="46053FB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center"/>
        <w:textAlignment w:val="auto"/>
        <w:rPr>
          <w:rFonts w:hint="eastAsia" w:ascii="黑体" w:hAnsi="黑体" w:eastAsia="黑体" w:cs="黑体"/>
          <w:b/>
          <w:bCs/>
          <w:i w:val="0"/>
          <w:iCs w:val="0"/>
          <w:color w:val="000000"/>
          <w:spacing w:val="0"/>
          <w:w w:val="100"/>
          <w:sz w:val="44"/>
          <w:szCs w:val="44"/>
          <w:vertAlign w:val="baseline"/>
        </w:rPr>
      </w:pPr>
    </w:p>
    <w:p w14:paraId="5F39E0B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both"/>
        <w:textAlignment w:val="auto"/>
        <w:rPr>
          <w:rFonts w:hint="eastAsia" w:ascii="黑体" w:hAnsi="黑体" w:eastAsia="黑体" w:cs="黑体"/>
          <w:b/>
          <w:bCs/>
          <w:i w:val="0"/>
          <w:iCs w:val="0"/>
          <w:color w:val="000000"/>
          <w:spacing w:val="0"/>
          <w:w w:val="100"/>
          <w:sz w:val="44"/>
          <w:szCs w:val="44"/>
          <w:vertAlign w:val="baseline"/>
        </w:rPr>
      </w:pPr>
    </w:p>
    <w:p w14:paraId="6543AD1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center"/>
        <w:textAlignment w:val="auto"/>
        <w:outlineLvl w:val="0"/>
        <w:rPr>
          <w:rFonts w:hint="eastAsia" w:ascii="黑体" w:hAnsi="黑体" w:eastAsia="黑体" w:cs="黑体"/>
          <w:sz w:val="44"/>
          <w:szCs w:val="44"/>
        </w:rPr>
      </w:pPr>
      <w:bookmarkStart w:id="197" w:name="_Toc4881"/>
      <w:bookmarkStart w:id="198" w:name="_Toc11463"/>
      <w:r>
        <w:rPr>
          <w:rFonts w:hint="eastAsia" w:ascii="黑体" w:hAnsi="黑体" w:eastAsia="黑体" w:cs="黑体"/>
          <w:b/>
          <w:bCs/>
          <w:i w:val="0"/>
          <w:iCs w:val="0"/>
          <w:color w:val="000000"/>
          <w:spacing w:val="0"/>
          <w:w w:val="100"/>
          <w:sz w:val="44"/>
          <w:szCs w:val="44"/>
          <w:vertAlign w:val="baseline"/>
        </w:rPr>
        <w:t>第十章 团队组织</w:t>
      </w:r>
      <w:bookmarkEnd w:id="197"/>
      <w:bookmarkEnd w:id="198"/>
    </w:p>
    <w:p w14:paraId="72CF7DA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sz w:val="36"/>
          <w:szCs w:val="36"/>
        </w:rPr>
      </w:pPr>
      <w:bookmarkStart w:id="199" w:name="_Toc24869"/>
      <w:bookmarkStart w:id="200" w:name="_Toc16340"/>
      <w:r>
        <w:rPr>
          <w:rFonts w:hint="eastAsia" w:ascii="黑体" w:hAnsi="黑体" w:eastAsia="黑体" w:cs="黑体"/>
          <w:b/>
          <w:bCs/>
          <w:i w:val="0"/>
          <w:iCs w:val="0"/>
          <w:color w:val="000000"/>
          <w:spacing w:val="0"/>
          <w:w w:val="100"/>
          <w:sz w:val="36"/>
          <w:szCs w:val="36"/>
          <w:vertAlign w:val="baseline"/>
        </w:rPr>
        <w:t>10.1 团队组织</w:t>
      </w:r>
      <w:r>
        <w:rPr>
          <w:rFonts w:hint="eastAsia" w:ascii="黑体" w:hAnsi="黑体" w:eastAsia="黑体" w:cs="黑体"/>
          <w:b/>
          <w:bCs/>
          <w:i w:val="0"/>
          <w:iCs w:val="0"/>
          <w:color w:val="000000"/>
          <w:spacing w:val="0"/>
          <w:w w:val="100"/>
          <w:sz w:val="36"/>
          <w:szCs w:val="36"/>
          <w:vertAlign w:val="baseline"/>
          <w:lang w:val="en-US" w:eastAsia="zh-CN"/>
        </w:rPr>
        <w:t>概</w:t>
      </w:r>
      <w:r>
        <w:rPr>
          <w:rFonts w:hint="eastAsia" w:ascii="黑体" w:hAnsi="黑体" w:eastAsia="黑体" w:cs="黑体"/>
          <w:b/>
          <w:bCs/>
          <w:i w:val="0"/>
          <w:iCs w:val="0"/>
          <w:color w:val="000000"/>
          <w:spacing w:val="0"/>
          <w:w w:val="100"/>
          <w:sz w:val="36"/>
          <w:szCs w:val="36"/>
          <w:vertAlign w:val="baseline"/>
        </w:rPr>
        <w:t>况</w:t>
      </w:r>
      <w:bookmarkEnd w:id="199"/>
      <w:bookmarkEnd w:id="200"/>
    </w:p>
    <w:p w14:paraId="62D5286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本项目由广西科技师范学院先进制造工程学院智能制造专业谢宇担任总负责人，统筹产品研发与市场运营全流程工作；曹晓倩负责人力行政与财务管理相关事务；伍锦琦担任技术研发经理</w:t>
      </w:r>
      <w:r>
        <w:rPr>
          <w:rFonts w:hint="eastAsia" w:ascii="宋体" w:hAnsi="宋体" w:eastAsia="宋体" w:cs="宋体"/>
          <w:b w:val="0"/>
          <w:bCs w:val="0"/>
          <w:i w:val="0"/>
          <w:iCs w:val="0"/>
          <w:color w:val="000000"/>
          <w:spacing w:val="0"/>
          <w:w w:val="100"/>
          <w:sz w:val="24"/>
          <w:szCs w:val="24"/>
          <w:vertAlign w:val="baseline"/>
          <w:lang w:val="en-US" w:eastAsia="zh-CN"/>
        </w:rPr>
        <w:t>和</w:t>
      </w:r>
      <w:r>
        <w:rPr>
          <w:rFonts w:hint="eastAsia" w:ascii="宋体" w:hAnsi="宋体" w:eastAsia="宋体" w:cs="宋体"/>
          <w:b w:val="0"/>
          <w:bCs w:val="0"/>
          <w:i w:val="0"/>
          <w:iCs w:val="0"/>
          <w:color w:val="000000"/>
          <w:spacing w:val="0"/>
          <w:w w:val="100"/>
          <w:sz w:val="24"/>
          <w:szCs w:val="24"/>
          <w:vertAlign w:val="baseline"/>
        </w:rPr>
        <w:t>市场运营经理，主导算法与软件开发工作</w:t>
      </w:r>
      <w:r>
        <w:rPr>
          <w:rFonts w:hint="eastAsia" w:ascii="宋体" w:hAnsi="宋体" w:eastAsia="宋体" w:cs="宋体"/>
          <w:b w:val="0"/>
          <w:bCs w:val="0"/>
          <w:i w:val="0"/>
          <w:iCs w:val="0"/>
          <w:color w:val="000000"/>
          <w:spacing w:val="0"/>
          <w:w w:val="100"/>
          <w:sz w:val="24"/>
          <w:szCs w:val="24"/>
          <w:vertAlign w:val="baseline"/>
          <w:lang w:val="en-US" w:eastAsia="zh-CN"/>
        </w:rPr>
        <w:t>还有</w:t>
      </w:r>
      <w:r>
        <w:rPr>
          <w:rFonts w:hint="eastAsia" w:ascii="宋体" w:hAnsi="宋体" w:eastAsia="宋体" w:cs="宋体"/>
          <w:b w:val="0"/>
          <w:bCs w:val="0"/>
          <w:i w:val="0"/>
          <w:iCs w:val="0"/>
          <w:color w:val="000000"/>
          <w:spacing w:val="0"/>
          <w:w w:val="100"/>
          <w:sz w:val="24"/>
          <w:szCs w:val="24"/>
          <w:vertAlign w:val="baseline"/>
        </w:rPr>
        <w:t>负责市场推广与渠道拓展；谢耀宽担任硬件工程经理</w:t>
      </w:r>
      <w:r>
        <w:rPr>
          <w:rFonts w:hint="eastAsia" w:ascii="宋体" w:hAnsi="宋体" w:eastAsia="宋体" w:cs="宋体"/>
          <w:b w:val="0"/>
          <w:bCs w:val="0"/>
          <w:i w:val="0"/>
          <w:iCs w:val="0"/>
          <w:color w:val="000000"/>
          <w:spacing w:val="0"/>
          <w:w w:val="100"/>
          <w:sz w:val="24"/>
          <w:szCs w:val="24"/>
          <w:vertAlign w:val="baseline"/>
          <w:lang w:val="en-US" w:eastAsia="zh-CN"/>
        </w:rPr>
        <w:t>和</w:t>
      </w:r>
      <w:r>
        <w:rPr>
          <w:rFonts w:hint="eastAsia" w:ascii="宋体" w:hAnsi="宋体" w:eastAsia="宋体" w:cs="宋体"/>
          <w:b w:val="0"/>
          <w:bCs w:val="0"/>
          <w:i w:val="0"/>
          <w:iCs w:val="0"/>
          <w:color w:val="000000"/>
          <w:spacing w:val="0"/>
          <w:w w:val="100"/>
          <w:sz w:val="24"/>
          <w:szCs w:val="24"/>
          <w:vertAlign w:val="baseline"/>
        </w:rPr>
        <w:t>项目执行总监，负责硬件集成与生产环节</w:t>
      </w:r>
      <w:r>
        <w:rPr>
          <w:rFonts w:hint="eastAsia" w:ascii="宋体" w:hAnsi="宋体" w:eastAsia="宋体" w:cs="宋体"/>
          <w:b w:val="0"/>
          <w:bCs w:val="0"/>
          <w:i w:val="0"/>
          <w:iCs w:val="0"/>
          <w:color w:val="000000"/>
          <w:spacing w:val="0"/>
          <w:w w:val="100"/>
          <w:sz w:val="24"/>
          <w:szCs w:val="24"/>
          <w:vertAlign w:val="baseline"/>
          <w:lang w:val="en-US" w:eastAsia="zh-CN"/>
        </w:rPr>
        <w:t>并且负责</w:t>
      </w:r>
      <w:r>
        <w:rPr>
          <w:rFonts w:hint="eastAsia" w:ascii="宋体" w:hAnsi="宋体" w:eastAsia="宋体" w:cs="宋体"/>
          <w:b w:val="0"/>
          <w:bCs w:val="0"/>
          <w:i w:val="0"/>
          <w:iCs w:val="0"/>
          <w:color w:val="000000"/>
          <w:spacing w:val="0"/>
          <w:w w:val="100"/>
          <w:sz w:val="24"/>
          <w:szCs w:val="24"/>
          <w:vertAlign w:val="baseline"/>
        </w:rPr>
        <w:t>统筹项目落地与客户服务；</w:t>
      </w:r>
      <w:r>
        <w:rPr>
          <w:rFonts w:hint="eastAsia" w:ascii="宋体" w:hAnsi="宋体" w:eastAsia="宋体" w:cs="宋体"/>
          <w:b w:val="0"/>
          <w:bCs w:val="0"/>
          <w:i w:val="0"/>
          <w:iCs w:val="0"/>
          <w:color w:val="000000"/>
          <w:spacing w:val="0"/>
          <w:w w:val="100"/>
          <w:sz w:val="24"/>
          <w:szCs w:val="24"/>
          <w:vertAlign w:val="baseline"/>
          <w:lang w:val="en-US" w:eastAsia="zh-CN"/>
        </w:rPr>
        <w:t>何军</w:t>
      </w:r>
      <w:r>
        <w:rPr>
          <w:rFonts w:hint="eastAsia" w:ascii="宋体" w:hAnsi="宋体" w:eastAsia="宋体" w:cs="宋体"/>
          <w:b w:val="0"/>
          <w:bCs w:val="0"/>
          <w:i w:val="0"/>
          <w:iCs w:val="0"/>
          <w:color w:val="000000"/>
          <w:spacing w:val="0"/>
          <w:w w:val="100"/>
          <w:sz w:val="24"/>
          <w:szCs w:val="24"/>
          <w:vertAlign w:val="baseline"/>
        </w:rPr>
        <w:t>负责财务核算与销售支持工作。</w:t>
      </w:r>
    </w:p>
    <w:p w14:paraId="4285CA2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团队成员能力形成互补，覆盖了算法研发、硬件设计、市场销售、财务管理等创业项目核心岗位，团队结构科学合理，整体创新能力突出。项目同时拥有由陈旭红、赖道辉等专业教师组成的顾问团队，可提供技术指导与资源支持，为项目顺利推进保驾护航。</w:t>
      </w:r>
      <w:r>
        <w:rPr>
          <w:rFonts w:hint="eastAsia" w:ascii="宋体" w:hAnsi="宋体" w:eastAsia="宋体" w:cs="宋体"/>
          <w:b/>
          <w:bCs/>
          <w:i w:val="0"/>
          <w:iCs w:val="0"/>
          <w:color w:val="000000"/>
          <w:spacing w:val="0"/>
          <w:w w:val="100"/>
          <w:sz w:val="36"/>
          <w:szCs w:val="36"/>
          <w:vertAlign w:val="baseline"/>
          <w:lang w:val="en-US"/>
        </w:rPr>
        <w:t> </w:t>
      </w:r>
    </w:p>
    <w:p w14:paraId="78D2C68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pPr>
    </w:p>
    <w:p w14:paraId="122E406D">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6"/>
          <w:szCs w:val="36"/>
        </w:rPr>
      </w:pPr>
      <w:bookmarkStart w:id="201" w:name="_Toc11439"/>
      <w:bookmarkStart w:id="202" w:name="_Toc9797"/>
      <w:r>
        <w:rPr>
          <w:rFonts w:hint="eastAsia" w:ascii="黑体" w:hAnsi="黑体" w:eastAsia="黑体" w:cs="黑体"/>
          <w:b/>
          <w:bCs/>
          <w:i w:val="0"/>
          <w:iCs w:val="0"/>
          <w:color w:val="000000"/>
          <w:spacing w:val="0"/>
          <w:w w:val="100"/>
          <w:sz w:val="36"/>
          <w:szCs w:val="36"/>
          <w:vertAlign w:val="baseline"/>
        </w:rPr>
        <w:t>10.2 团队成员介绍</w:t>
      </w:r>
      <w:bookmarkEnd w:id="201"/>
      <w:bookmarkEnd w:id="202"/>
    </w:p>
    <w:p w14:paraId="78AD6940">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sz w:val="28"/>
          <w:szCs w:val="28"/>
        </w:rPr>
      </w:pPr>
      <w:r>
        <w:rPr>
          <w:rFonts w:hint="eastAsia" w:ascii="宋体" w:hAnsi="宋体" w:eastAsia="宋体" w:cs="宋体"/>
          <w:b/>
          <w:bCs/>
          <w:i w:val="0"/>
          <w:iCs w:val="0"/>
          <w:color w:val="000000"/>
          <w:spacing w:val="0"/>
          <w:w w:val="100"/>
          <w:sz w:val="28"/>
          <w:szCs w:val="28"/>
          <w:vertAlign w:val="baseline"/>
        </w:rPr>
        <w:t>谢宇 项目总负责人</w:t>
      </w:r>
    </w:p>
    <w:p w14:paraId="3385ADE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智能制造工程专业大二学生，男，熟练使用AutoCAD、VS、UG NX等专业软件，擅长统筹规划与项目管理，做事认真负责，具备较强的创新意识与执行力。大一期间参加2025AI+信息素养大赛获校级个人三等奖与团体一等奖，大学生职业规划大赛校级铜奖。热爱技术创新，致力于将AI视觉技术应用于工业场景，推动制造业质检升级。全面负责项目战略规划、技术决策与团队管理。</w:t>
      </w:r>
    </w:p>
    <w:p w14:paraId="7D1C11E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sz w:val="28"/>
          <w:szCs w:val="28"/>
        </w:rPr>
      </w:pPr>
      <w:r>
        <w:rPr>
          <w:rFonts w:hint="eastAsia" w:ascii="宋体" w:hAnsi="宋体" w:eastAsia="宋体" w:cs="宋体"/>
          <w:b/>
          <w:bCs/>
          <w:i w:val="0"/>
          <w:iCs w:val="0"/>
          <w:color w:val="000000"/>
          <w:spacing w:val="0"/>
          <w:w w:val="100"/>
          <w:sz w:val="28"/>
          <w:szCs w:val="28"/>
          <w:vertAlign w:val="baseline"/>
        </w:rPr>
        <w:t>谢耀宽 硬件工程经理</w:t>
      </w:r>
    </w:p>
    <w:p w14:paraId="645439C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智能制造工程专业大二学生，男，思维活跃，动手能力强，具备扎实的机械与电子基础，擅长硬件设计与集成调试。空间想象力突出，善于解决工程实际问题，能够快速响应需求优化方案。负责产品硬件设计、原型机制作、生产组装与质量管控。</w:t>
      </w:r>
    </w:p>
    <w:p w14:paraId="3A706133">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sz w:val="28"/>
          <w:szCs w:val="28"/>
        </w:rPr>
      </w:pPr>
      <w:r>
        <w:rPr>
          <w:rFonts w:hint="eastAsia" w:ascii="宋体" w:hAnsi="宋体" w:eastAsia="宋体" w:cs="宋体"/>
          <w:b/>
          <w:bCs/>
          <w:i w:val="0"/>
          <w:iCs w:val="0"/>
          <w:color w:val="000000"/>
          <w:spacing w:val="0"/>
          <w:w w:val="100"/>
          <w:sz w:val="28"/>
          <w:szCs w:val="28"/>
          <w:vertAlign w:val="baseline"/>
        </w:rPr>
        <w:t>曹晓倩 人力行政经理</w:t>
      </w:r>
    </w:p>
    <w:p w14:paraId="136CE47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智能制造工程专业大二学生，女，做事细致认真，善于沟通协调，熟练掌握Office办公软件，具备较强的组织策划能力与文字功底。负责团队人力资源、行政管理、制度建设与日常事务协调，营造高效协作的团队氛围。</w:t>
      </w:r>
    </w:p>
    <w:p w14:paraId="3211191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sz w:val="28"/>
          <w:szCs w:val="28"/>
        </w:rPr>
      </w:pPr>
      <w:r>
        <w:rPr>
          <w:rFonts w:hint="eastAsia" w:ascii="宋体" w:hAnsi="宋体" w:eastAsia="宋体" w:cs="宋体"/>
          <w:b/>
          <w:bCs/>
          <w:i w:val="0"/>
          <w:iCs w:val="0"/>
          <w:color w:val="000000"/>
          <w:spacing w:val="0"/>
          <w:w w:val="100"/>
          <w:sz w:val="28"/>
          <w:szCs w:val="28"/>
          <w:vertAlign w:val="baseline"/>
        </w:rPr>
        <w:t>伍锦琦 技术研发经理</w:t>
      </w:r>
    </w:p>
    <w:p w14:paraId="532ED5D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智能制造工程专业大二学生，男，心思缜密，逻辑思维强，熟练掌握Python编程与深度学习框架，具备扎实的算法基础。热爱计算机视觉技术，专注于缺陷检测算法研究。负责核心算法研发、软件开发与技术迭代优化。</w:t>
      </w:r>
    </w:p>
    <w:p w14:paraId="765DDCF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bCs/>
          <w:i w:val="0"/>
          <w:iCs w:val="0"/>
          <w:color w:val="000000"/>
          <w:spacing w:val="0"/>
          <w:w w:val="100"/>
          <w:sz w:val="28"/>
          <w:szCs w:val="28"/>
          <w:vertAlign w:val="baseline"/>
        </w:rPr>
      </w:pPr>
      <w:r>
        <w:rPr>
          <w:rFonts w:hint="eastAsia" w:ascii="宋体" w:hAnsi="宋体" w:eastAsia="宋体" w:cs="宋体"/>
          <w:b/>
          <w:bCs/>
          <w:i w:val="0"/>
          <w:iCs w:val="0"/>
          <w:color w:val="000000"/>
          <w:spacing w:val="0"/>
          <w:w w:val="100"/>
          <w:sz w:val="28"/>
          <w:szCs w:val="28"/>
          <w:vertAlign w:val="baseline"/>
          <w:lang w:val="en-US" w:eastAsia="zh-CN"/>
        </w:rPr>
        <w:t>何军</w:t>
      </w:r>
      <w:r>
        <w:rPr>
          <w:rFonts w:hint="eastAsia" w:ascii="宋体" w:hAnsi="宋体" w:eastAsia="宋体" w:cs="宋体"/>
          <w:b/>
          <w:bCs/>
          <w:i w:val="0"/>
          <w:iCs w:val="0"/>
          <w:color w:val="000000"/>
          <w:spacing w:val="0"/>
          <w:w w:val="100"/>
          <w:sz w:val="28"/>
          <w:szCs w:val="28"/>
          <w:vertAlign w:val="baseline"/>
        </w:rPr>
        <w:t xml:space="preserve"> 财务总监</w:t>
      </w:r>
    </w:p>
    <w:p w14:paraId="6109FBC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智能制造工程专业大二学生，男，性格要严谨细致，做事细小落实，具备较强的观察性和执行力，负责部门的财务工作，善于发现项目中财务的管理问题并能及时给出解决办法兼顾核算、风控、资金、经营决策支持，把控企业财务安全与经济效益。</w:t>
      </w:r>
    </w:p>
    <w:p w14:paraId="22E5257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5574AD48">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sz w:val="32"/>
          <w:szCs w:val="32"/>
        </w:rPr>
      </w:pPr>
      <w:r>
        <w:rPr>
          <w:rFonts w:hint="eastAsia" w:ascii="宋体" w:hAnsi="宋体" w:eastAsia="宋体" w:cs="宋体"/>
          <w:b/>
          <w:bCs/>
          <w:i w:val="0"/>
          <w:iCs w:val="0"/>
          <w:color w:val="000000"/>
          <w:spacing w:val="0"/>
          <w:w w:val="100"/>
          <w:sz w:val="32"/>
          <w:szCs w:val="32"/>
          <w:vertAlign w:val="baseline"/>
        </w:rPr>
        <w:t>顾问团队</w:t>
      </w:r>
    </w:p>
    <w:p w14:paraId="60591F4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562" w:firstLineChars="200"/>
        <w:jc w:val="left"/>
        <w:textAlignment w:val="auto"/>
      </w:pPr>
      <w:r>
        <w:rPr>
          <w:rFonts w:hint="eastAsia" w:ascii="宋体" w:hAnsi="宋体" w:eastAsia="宋体" w:cs="宋体"/>
          <w:b/>
          <w:bCs/>
          <w:i w:val="0"/>
          <w:iCs w:val="0"/>
          <w:color w:val="000000"/>
          <w:spacing w:val="0"/>
          <w:w w:val="100"/>
          <w:sz w:val="28"/>
          <w:szCs w:val="28"/>
          <w:vertAlign w:val="baseline"/>
        </w:rPr>
        <w:t>赖道辉</w:t>
      </w:r>
      <w:r>
        <w:rPr>
          <w:rFonts w:hint="eastAsia" w:ascii="宋体" w:hAnsi="宋体" w:eastAsia="宋体" w:cs="宋体"/>
          <w:b w:val="0"/>
          <w:bCs w:val="0"/>
          <w:i w:val="0"/>
          <w:iCs w:val="0"/>
          <w:color w:val="000000"/>
          <w:spacing w:val="0"/>
          <w:w w:val="100"/>
          <w:sz w:val="24"/>
          <w:szCs w:val="24"/>
          <w:vertAlign w:val="baseline"/>
        </w:rPr>
        <w:t>：广西科技师范学院先进制造工程学院专任教师，高级工程师，工学硕士，毕业于南京航空航天大学。拥有丰富的工业项目经验，为产品设计、生产落地提供工程化指导。</w:t>
      </w:r>
    </w:p>
    <w:p w14:paraId="16DE57C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02BE6A5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rPr>
          <w:rFonts w:hint="eastAsia" w:ascii="黑体" w:hAnsi="黑体" w:eastAsia="黑体" w:cs="黑体"/>
          <w:sz w:val="32"/>
          <w:szCs w:val="32"/>
        </w:rPr>
      </w:pPr>
      <w:bookmarkStart w:id="203" w:name="_Toc4014"/>
      <w:bookmarkStart w:id="204" w:name="_Toc23633"/>
      <w:r>
        <w:rPr>
          <w:rFonts w:hint="eastAsia" w:ascii="黑体" w:hAnsi="黑体" w:eastAsia="黑体" w:cs="黑体"/>
          <w:b/>
          <w:bCs/>
          <w:i w:val="0"/>
          <w:iCs w:val="0"/>
          <w:color w:val="000000"/>
          <w:spacing w:val="0"/>
          <w:w w:val="100"/>
          <w:sz w:val="32"/>
          <w:szCs w:val="32"/>
          <w:vertAlign w:val="baseline"/>
        </w:rPr>
        <w:t>10.3 团队组织结构</w:t>
      </w:r>
      <w:bookmarkEnd w:id="203"/>
      <w:bookmarkEnd w:id="204"/>
    </w:p>
    <w:p w14:paraId="71E59AD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团队初期采用扁平化管理，核心成员分工明确，沟通高效，能够快速响应市场变化。同时设立技术顾问委员会，由指导老师与行业专家组成，为重大决策提供专业意见。</w:t>
      </w:r>
    </w:p>
    <w:p w14:paraId="50F8FF06">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随着项目发展，逐步完善研发部、生产部、市场部、财务部、行政人事部五大部门，建立规范的企业管理体系，支撑规模化发展。</w:t>
      </w:r>
    </w:p>
    <w:p w14:paraId="70CD3E1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bCs/>
          <w:i w:val="0"/>
          <w:iCs w:val="0"/>
          <w:color w:val="000000"/>
          <w:spacing w:val="0"/>
          <w:w w:val="100"/>
          <w:sz w:val="36"/>
          <w:szCs w:val="36"/>
          <w:vertAlign w:val="baseline"/>
        </w:rPr>
      </w:pPr>
    </w:p>
    <w:p w14:paraId="3FE8D63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0"/>
      </w:pPr>
      <w:bookmarkStart w:id="205" w:name="_Toc5231"/>
      <w:bookmarkStart w:id="206" w:name="_Toc29210"/>
      <w:r>
        <w:rPr>
          <w:rFonts w:hint="eastAsia" w:ascii="黑体" w:hAnsi="黑体" w:eastAsia="黑体" w:cs="黑体"/>
          <w:b/>
          <w:bCs/>
          <w:i w:val="0"/>
          <w:iCs w:val="0"/>
          <w:color w:val="000000"/>
          <w:spacing w:val="0"/>
          <w:w w:val="100"/>
          <w:sz w:val="32"/>
          <w:szCs w:val="32"/>
          <w:vertAlign w:val="baseline"/>
        </w:rPr>
        <w:t>10.4 团队组建特征</w:t>
      </w:r>
      <w:bookmarkEnd w:id="205"/>
      <w:bookmarkEnd w:id="206"/>
    </w:p>
    <w:p w14:paraId="5B7B1C57">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28"/>
          <w:szCs w:val="28"/>
        </w:rPr>
      </w:pPr>
      <w:bookmarkStart w:id="207" w:name="_Toc28768"/>
      <w:bookmarkStart w:id="208" w:name="_Toc15785"/>
      <w:r>
        <w:rPr>
          <w:rFonts w:hint="eastAsia" w:ascii="黑体" w:hAnsi="黑体" w:eastAsia="黑体" w:cs="黑体"/>
          <w:b/>
          <w:bCs/>
          <w:i w:val="0"/>
          <w:iCs w:val="0"/>
          <w:color w:val="000000"/>
          <w:spacing w:val="0"/>
          <w:w w:val="100"/>
          <w:sz w:val="28"/>
          <w:szCs w:val="28"/>
          <w:vertAlign w:val="baseline"/>
        </w:rPr>
        <w:t>10.4.1 目标一致，使命驱动</w:t>
      </w:r>
      <w:bookmarkEnd w:id="207"/>
      <w:bookmarkEnd w:id="208"/>
    </w:p>
    <w:p w14:paraId="034232D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团队以“用智能技术赋能中小制造企业，让高质量质检普惠每一家工厂”为使命，全体成员高度认同项目价值与发展目标，怀揣充足的创业热情与责任感，齐心协力推动项目落地。</w:t>
      </w:r>
    </w:p>
    <w:p w14:paraId="584F326B">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3B81430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28"/>
          <w:szCs w:val="28"/>
        </w:rPr>
      </w:pPr>
      <w:bookmarkStart w:id="209" w:name="_Toc27703"/>
      <w:bookmarkStart w:id="210" w:name="_Toc28060"/>
      <w:r>
        <w:rPr>
          <w:rFonts w:hint="eastAsia" w:ascii="黑体" w:hAnsi="黑体" w:eastAsia="黑体" w:cs="黑体"/>
          <w:b/>
          <w:bCs/>
          <w:i w:val="0"/>
          <w:iCs w:val="0"/>
          <w:color w:val="000000"/>
          <w:spacing w:val="0"/>
          <w:w w:val="100"/>
          <w:sz w:val="28"/>
          <w:szCs w:val="28"/>
          <w:vertAlign w:val="baseline"/>
        </w:rPr>
        <w:t>10.4.2 跨域互补，能力均衡</w:t>
      </w:r>
      <w:bookmarkEnd w:id="209"/>
      <w:bookmarkEnd w:id="210"/>
    </w:p>
    <w:p w14:paraId="22293F9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团队成员来自智能制造</w:t>
      </w:r>
      <w:r>
        <w:rPr>
          <w:rFonts w:hint="eastAsia" w:ascii="宋体" w:hAnsi="宋体" w:eastAsia="宋体" w:cs="宋体"/>
          <w:b w:val="0"/>
          <w:bCs w:val="0"/>
          <w:i w:val="0"/>
          <w:iCs w:val="0"/>
          <w:color w:val="000000"/>
          <w:spacing w:val="0"/>
          <w:w w:val="100"/>
          <w:sz w:val="24"/>
          <w:szCs w:val="24"/>
          <w:vertAlign w:val="baseline"/>
          <w:lang w:val="en-US" w:eastAsia="zh-CN"/>
        </w:rPr>
        <w:t>工程</w:t>
      </w:r>
      <w:r>
        <w:rPr>
          <w:rFonts w:hint="eastAsia" w:ascii="宋体" w:hAnsi="宋体" w:eastAsia="宋体" w:cs="宋体"/>
          <w:b w:val="0"/>
          <w:bCs w:val="0"/>
          <w:i w:val="0"/>
          <w:iCs w:val="0"/>
          <w:color w:val="000000"/>
          <w:spacing w:val="0"/>
          <w:w w:val="100"/>
          <w:sz w:val="24"/>
          <w:szCs w:val="24"/>
          <w:vertAlign w:val="baseline"/>
        </w:rPr>
        <w:t>专业，能力覆盖技术研发、市场运营、团队管理、财务管理等创业全链路核心环节，知识结构互补，形成了完整的创业能力闭环。团队既具备扎实的技术研发功底，又拥有敏锐的市场洞察意识，能够为项目全方位发展提供坚实保障。</w:t>
      </w:r>
    </w:p>
    <w:p w14:paraId="07B1B40A">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jc w:val="left"/>
        <w:textAlignment w:val="auto"/>
        <w:rPr>
          <w:rFonts w:hint="eastAsia" w:ascii="宋体" w:hAnsi="宋体" w:eastAsia="宋体" w:cs="宋体"/>
          <w:b/>
          <w:bCs/>
          <w:i w:val="0"/>
          <w:iCs w:val="0"/>
          <w:color w:val="000000"/>
          <w:spacing w:val="0"/>
          <w:w w:val="100"/>
          <w:sz w:val="27"/>
          <w:szCs w:val="27"/>
          <w:vertAlign w:val="baseline"/>
        </w:rPr>
      </w:pPr>
    </w:p>
    <w:p w14:paraId="559E9B29">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28"/>
          <w:szCs w:val="28"/>
        </w:rPr>
      </w:pPr>
      <w:bookmarkStart w:id="211" w:name="_Toc10481"/>
      <w:bookmarkStart w:id="212" w:name="_Toc12236"/>
      <w:r>
        <w:rPr>
          <w:rFonts w:hint="eastAsia" w:ascii="黑体" w:hAnsi="黑体" w:eastAsia="黑体" w:cs="黑体"/>
          <w:b/>
          <w:bCs/>
          <w:i w:val="0"/>
          <w:iCs w:val="0"/>
          <w:color w:val="000000"/>
          <w:spacing w:val="0"/>
          <w:w w:val="100"/>
          <w:sz w:val="28"/>
          <w:szCs w:val="28"/>
          <w:vertAlign w:val="baseline"/>
        </w:rPr>
        <w:t>10.4.3 创新实干，执行力强</w:t>
      </w:r>
      <w:bookmarkEnd w:id="211"/>
      <w:bookmarkEnd w:id="212"/>
    </w:p>
    <w:p w14:paraId="07E63051">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团队注重技术创新与实干精神，敢于突破传统方案限制，提出成像环节的创新思路；同时能够脚踏实地，从实际市场需求出发，推动产品快速迭代，保障项目高效推进。团队成员协作默契，执行力突出，能够快速将创意想法转化为实际成果。</w:t>
      </w:r>
    </w:p>
    <w:p w14:paraId="39BEED34">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rPr>
          <w:rFonts w:hint="eastAsia" w:ascii="宋体" w:hAnsi="宋体" w:eastAsia="宋体" w:cs="宋体"/>
          <w:b w:val="0"/>
          <w:bCs w:val="0"/>
          <w:i w:val="0"/>
          <w:iCs w:val="0"/>
          <w:color w:val="000000"/>
          <w:spacing w:val="0"/>
          <w:w w:val="100"/>
          <w:sz w:val="24"/>
          <w:szCs w:val="24"/>
          <w:vertAlign w:val="baseline"/>
        </w:rPr>
      </w:pPr>
    </w:p>
    <w:p w14:paraId="5854118E">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jc w:val="left"/>
        <w:textAlignment w:val="auto"/>
        <w:outlineLvl w:val="1"/>
        <w:rPr>
          <w:rFonts w:hint="eastAsia" w:ascii="黑体" w:hAnsi="黑体" w:eastAsia="黑体" w:cs="黑体"/>
          <w:sz w:val="28"/>
          <w:szCs w:val="28"/>
        </w:rPr>
      </w:pPr>
      <w:bookmarkStart w:id="213" w:name="_Toc19528"/>
      <w:bookmarkStart w:id="214" w:name="_Toc19838"/>
      <w:r>
        <w:rPr>
          <w:rFonts w:hint="eastAsia" w:ascii="黑体" w:hAnsi="黑体" w:eastAsia="黑体" w:cs="黑体"/>
          <w:b/>
          <w:bCs/>
          <w:i w:val="0"/>
          <w:iCs w:val="0"/>
          <w:color w:val="000000"/>
          <w:spacing w:val="0"/>
          <w:w w:val="100"/>
          <w:sz w:val="28"/>
          <w:szCs w:val="28"/>
          <w:vertAlign w:val="baseline"/>
        </w:rPr>
        <w:t>10.4.4 导师护航，资源支撑</w:t>
      </w:r>
      <w:bookmarkEnd w:id="213"/>
      <w:bookmarkEnd w:id="214"/>
    </w:p>
    <w:p w14:paraId="5EDC42BC">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80" w:firstLineChars="200"/>
        <w:jc w:val="left"/>
        <w:textAlignment w:val="auto"/>
      </w:pPr>
      <w:r>
        <w:rPr>
          <w:rFonts w:hint="eastAsia" w:ascii="宋体" w:hAnsi="宋体" w:eastAsia="宋体" w:cs="宋体"/>
          <w:b w:val="0"/>
          <w:bCs w:val="0"/>
          <w:i w:val="0"/>
          <w:iCs w:val="0"/>
          <w:color w:val="000000"/>
          <w:spacing w:val="0"/>
          <w:w w:val="100"/>
          <w:sz w:val="24"/>
          <w:szCs w:val="24"/>
          <w:vertAlign w:val="baseline"/>
        </w:rPr>
        <w:t>项目依托高校平台与资深导师团队，获得技术、场地、政策等多维度支持。导师团队兼具扎实学术深度与丰富行业经验，能够为项目把关定向，有效规避创业过程中的各类风险，助力项目快速成长。</w:t>
      </w:r>
    </w:p>
    <w:p w14:paraId="17EA26F5">
      <w:pPr>
        <w:pStyle w:val="1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20" w:firstLineChars="200"/>
        <w:jc w:val="both"/>
        <w:textAlignment w:val="auto"/>
      </w:pPr>
      <w:r>
        <w:rPr>
          <w:rFonts w:hint="eastAsia" w:ascii="宋体" w:hAnsi="宋体" w:eastAsia="宋体" w:cs="宋体"/>
          <w:b w:val="0"/>
          <w:bCs w:val="0"/>
          <w:i w:val="0"/>
          <w:iCs w:val="0"/>
          <w:color w:val="000000"/>
          <w:spacing w:val="0"/>
          <w:w w:val="100"/>
          <w:sz w:val="21"/>
          <w:szCs w:val="21"/>
          <w:vertAlign w:val="baseline"/>
          <w:lang w:val="en-US"/>
        </w:rPr>
        <w:t> </w:t>
      </w:r>
    </w:p>
    <w:p w14:paraId="4A9FC912">
      <w:pPr>
        <w:keepNext w:val="0"/>
        <w:keepLines w:val="0"/>
        <w:pageBreakBefore w:val="0"/>
        <w:kinsoku/>
        <w:wordWrap/>
        <w:overflowPunct/>
        <w:topLinePunct w:val="0"/>
        <w:autoSpaceDE/>
        <w:autoSpaceDN/>
        <w:bidi w:val="0"/>
        <w:adjustRightInd/>
        <w:snapToGrid/>
        <w:spacing w:before="157" w:beforeLines="50" w:after="157" w:afterLines="50" w:line="360" w:lineRule="auto"/>
        <w:ind w:firstLine="420" w:firstLineChars="200"/>
        <w:textAlignment w:val="auto"/>
      </w:pPr>
    </w:p>
    <w:sectPr>
      <w:footerReference r:id="rId8"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09CB149-DACC-4129-8230-8C51C33A7B4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2" w:fontKey="{45936C6D-7EE4-4402-8C1C-618F4B6C08C7}"/>
  </w:font>
  <w:font w:name="华文中宋">
    <w:panose1 w:val="02010600040101010101"/>
    <w:charset w:val="86"/>
    <w:family w:val="auto"/>
    <w:pitch w:val="default"/>
    <w:sig w:usb0="00000287" w:usb1="080F0000" w:usb2="00000000" w:usb3="00000000" w:csb0="0004009F" w:csb1="DFD70000"/>
    <w:embedRegular r:id="rId3" w:fontKey="{32EC3545-AF69-459D-A86B-3AA2E95FF734}"/>
  </w:font>
  <w:font w:name="方正楷体_GB2312">
    <w:panose1 w:val="02000000000000000000"/>
    <w:charset w:val="86"/>
    <w:family w:val="auto"/>
    <w:pitch w:val="default"/>
    <w:sig w:usb0="A00002BF" w:usb1="184F6CFA" w:usb2="00000012" w:usb3="00000000" w:csb0="00040001" w:csb1="00000000"/>
    <w:embedRegular r:id="rId4" w:fontKey="{3F9CB4D2-8E07-4BAC-A287-D1F11F603B4B}"/>
  </w:font>
  <w:font w:name="楷体_GB2312">
    <w:altName w:val="楷体"/>
    <w:panose1 w:val="02010609030101010101"/>
    <w:charset w:val="86"/>
    <w:family w:val="auto"/>
    <w:pitch w:val="default"/>
    <w:sig w:usb0="00000000" w:usb1="00000000" w:usb2="00000000" w:usb3="00000000" w:csb0="00040000" w:csb1="00000000"/>
    <w:embedRegular r:id="rId5" w:fontKey="{D0181B15-511E-48A0-A179-6542A8A7DEBF}"/>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embedRegular r:id="rId6" w:fontKey="{8E7D6A74-DCA5-41AA-A7B3-0B394A8938C4}"/>
  </w:font>
  <w:font w:name="仿宋">
    <w:panose1 w:val="02010609060101010101"/>
    <w:charset w:val="86"/>
    <w:family w:val="auto"/>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embedRegular r:id="rId7" w:fontKey="{DFE1651F-96DB-43C2-AF10-921B53345242}"/>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E292B">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2083F">
    <w:pPr>
      <w:pStyle w:val="7"/>
    </w:pP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9532C">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07B75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1Bt+k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q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1Bt+kzAgAAYwQAAA4AAAAAAAAAAQAgAAAAHwEAAGRycy9lMm9Eb2MueG1sUEsF&#10;BgAAAAAGAAYAWQEAAMQFAAAAAA==&#10;">
              <v:fill on="f" focussize="0,0"/>
              <v:stroke on="f" weight="0.5pt"/>
              <v:imagedata o:title=""/>
              <o:lock v:ext="edit" aspectratio="f"/>
              <v:textbox inset="0mm,0mm,0mm,0mm" style="mso-fit-shape-to-text:t;">
                <w:txbxContent>
                  <w:p w14:paraId="0F07B75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F7437">
    <w:pPr>
      <w:pStyle w:val="8"/>
      <w:jc w:val="center"/>
      <w:rPr>
        <w:rFonts w:hint="eastAsia"/>
        <w:lang w:eastAsia="zh-CN"/>
      </w:rPr>
    </w:pPr>
    <w:r>
      <w:rPr>
        <w:rFonts w:hint="eastAsia" w:ascii="宋体" w:hAnsi="宋体" w:eastAsia="宋体" w:cs="宋体"/>
        <w:sz w:val="21"/>
        <w:szCs w:val="21"/>
        <w:lang w:val="en-US" w:eastAsia="zh-CN"/>
      </w:rPr>
      <w:t>锈鉴智检——</w:t>
    </w:r>
    <w:r>
      <w:rPr>
        <w:rFonts w:hint="eastAsia" w:ascii="宋体" w:hAnsi="宋体" w:eastAsia="宋体" w:cs="宋体"/>
        <w:sz w:val="21"/>
        <w:szCs w:val="21"/>
      </w:rPr>
      <w:t>低成本高精度钢材质检专家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4478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360" w:lineRule="auto"/>
      <w:ind w:left="519" w:leftChars="247" w:right="0" w:rightChars="0" w:firstLine="843" w:firstLineChars="400"/>
      <w:textAlignment w:val="auto"/>
      <w:outlineLvl w:val="9"/>
      <w:rPr>
        <w:color w:val="auto"/>
        <w:sz w:val="21"/>
        <w:szCs w:val="21"/>
      </w:rPr>
    </w:pPr>
    <w:r>
      <w:rPr>
        <w:rFonts w:hint="eastAsia" w:ascii="黑体" w:hAnsi="黑体" w:eastAsia="黑体" w:cs="黑体"/>
        <w:color w:val="auto"/>
        <w:sz w:val="21"/>
        <w:szCs w:val="21"/>
      </w:rPr>
      <w:t>基于视觉捕捉的生产线人员安全行为智能监测系统</w:t>
    </w:r>
    <w:r>
      <w:rPr>
        <w:rFonts w:hint="eastAsia" w:ascii="黑体" w:hAnsi="黑体" w:eastAsia="黑体" w:cs="黑体"/>
        <w:color w:val="auto"/>
        <w:sz w:val="21"/>
        <w:szCs w:val="21"/>
        <w:lang w:val="en-US" w:eastAsia="zh-CN"/>
      </w:rPr>
      <w:t>项目</w:t>
    </w:r>
    <w:r>
      <w:rPr>
        <w:rFonts w:hint="eastAsia" w:ascii="黑体" w:hAnsi="黑体" w:eastAsia="黑体" w:cs="黑体"/>
        <w:color w:val="auto"/>
        <w:sz w:val="21"/>
        <w:szCs w:val="21"/>
      </w:rPr>
      <w:t>计划书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62E81">
    <w:pPr>
      <w:pStyle w:val="8"/>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锈鉴智检——</w:t>
    </w:r>
    <w:r>
      <w:rPr>
        <w:rFonts w:hint="eastAsia" w:ascii="宋体" w:hAnsi="宋体" w:eastAsia="宋体" w:cs="宋体"/>
        <w:sz w:val="21"/>
        <w:szCs w:val="21"/>
      </w:rPr>
      <w:t>低成本高精度钢材质检专家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7BD55"/>
    <w:multiLevelType w:val="singleLevel"/>
    <w:tmpl w:val="84E7BD55"/>
    <w:lvl w:ilvl="0" w:tentative="0">
      <w:start w:val="1"/>
      <w:numFmt w:val="decimal"/>
      <w:suff w:val="space"/>
      <w:lvlText w:val="%1."/>
      <w:lvlJc w:val="left"/>
    </w:lvl>
  </w:abstractNum>
  <w:abstractNum w:abstractNumId="1">
    <w:nsid w:val="A1AA757D"/>
    <w:multiLevelType w:val="singleLevel"/>
    <w:tmpl w:val="A1AA757D"/>
    <w:lvl w:ilvl="0" w:tentative="0">
      <w:start w:val="1"/>
      <w:numFmt w:val="decimal"/>
      <w:suff w:val="space"/>
      <w:lvlText w:val="%1."/>
      <w:lvlJc w:val="left"/>
    </w:lvl>
  </w:abstractNum>
  <w:abstractNum w:abstractNumId="2">
    <w:nsid w:val="B36AD8D0"/>
    <w:multiLevelType w:val="singleLevel"/>
    <w:tmpl w:val="B36AD8D0"/>
    <w:lvl w:ilvl="0" w:tentative="0">
      <w:start w:val="1"/>
      <w:numFmt w:val="decimal"/>
      <w:suff w:val="space"/>
      <w:lvlText w:val="%1."/>
      <w:lvlJc w:val="left"/>
    </w:lvl>
  </w:abstractNum>
  <w:abstractNum w:abstractNumId="3">
    <w:nsid w:val="BF282C1F"/>
    <w:multiLevelType w:val="singleLevel"/>
    <w:tmpl w:val="BF282C1F"/>
    <w:lvl w:ilvl="0" w:tentative="0">
      <w:start w:val="1"/>
      <w:numFmt w:val="decimal"/>
      <w:suff w:val="space"/>
      <w:lvlText w:val="%1."/>
      <w:lvlJc w:val="left"/>
    </w:lvl>
  </w:abstractNum>
  <w:abstractNum w:abstractNumId="4">
    <w:nsid w:val="C1FE823B"/>
    <w:multiLevelType w:val="singleLevel"/>
    <w:tmpl w:val="C1FE823B"/>
    <w:lvl w:ilvl="0" w:tentative="0">
      <w:start w:val="1"/>
      <w:numFmt w:val="decimal"/>
      <w:suff w:val="space"/>
      <w:lvlText w:val="%1."/>
      <w:lvlJc w:val="left"/>
    </w:lvl>
  </w:abstractNum>
  <w:abstractNum w:abstractNumId="5">
    <w:nsid w:val="C2154CAA"/>
    <w:multiLevelType w:val="singleLevel"/>
    <w:tmpl w:val="C2154CAA"/>
    <w:lvl w:ilvl="0" w:tentative="0">
      <w:start w:val="1"/>
      <w:numFmt w:val="decimal"/>
      <w:suff w:val="space"/>
      <w:lvlText w:val="%1."/>
      <w:lvlJc w:val="left"/>
    </w:lvl>
  </w:abstractNum>
  <w:abstractNum w:abstractNumId="6">
    <w:nsid w:val="CF0089A6"/>
    <w:multiLevelType w:val="singleLevel"/>
    <w:tmpl w:val="CF0089A6"/>
    <w:lvl w:ilvl="0" w:tentative="0">
      <w:start w:val="8"/>
      <w:numFmt w:val="chineseCounting"/>
      <w:suff w:val="space"/>
      <w:lvlText w:val="第%1章"/>
      <w:lvlJc w:val="left"/>
      <w:rPr>
        <w:rFonts w:hint="eastAsia"/>
      </w:rPr>
    </w:lvl>
  </w:abstractNum>
  <w:abstractNum w:abstractNumId="7">
    <w:nsid w:val="00857DB6"/>
    <w:multiLevelType w:val="singleLevel"/>
    <w:tmpl w:val="00857DB6"/>
    <w:lvl w:ilvl="0" w:tentative="0">
      <w:start w:val="1"/>
      <w:numFmt w:val="decimal"/>
      <w:suff w:val="space"/>
      <w:lvlText w:val="%1."/>
      <w:lvlJc w:val="left"/>
    </w:lvl>
  </w:abstractNum>
  <w:abstractNum w:abstractNumId="8">
    <w:nsid w:val="09F5DCDC"/>
    <w:multiLevelType w:val="singleLevel"/>
    <w:tmpl w:val="09F5DCDC"/>
    <w:lvl w:ilvl="0" w:tentative="0">
      <w:start w:val="1"/>
      <w:numFmt w:val="decimal"/>
      <w:suff w:val="space"/>
      <w:lvlText w:val="%1."/>
      <w:lvlJc w:val="left"/>
    </w:lvl>
  </w:abstractNum>
  <w:abstractNum w:abstractNumId="9">
    <w:nsid w:val="17E67777"/>
    <w:multiLevelType w:val="singleLevel"/>
    <w:tmpl w:val="17E67777"/>
    <w:lvl w:ilvl="0" w:tentative="0">
      <w:start w:val="1"/>
      <w:numFmt w:val="decimal"/>
      <w:suff w:val="space"/>
      <w:lvlText w:val="%1."/>
      <w:lvlJc w:val="left"/>
    </w:lvl>
  </w:abstractNum>
  <w:abstractNum w:abstractNumId="10">
    <w:nsid w:val="23DE9A05"/>
    <w:multiLevelType w:val="singleLevel"/>
    <w:tmpl w:val="23DE9A05"/>
    <w:lvl w:ilvl="0" w:tentative="0">
      <w:start w:val="1"/>
      <w:numFmt w:val="decimal"/>
      <w:suff w:val="space"/>
      <w:lvlText w:val="%1."/>
      <w:lvlJc w:val="left"/>
    </w:lvl>
  </w:abstractNum>
  <w:abstractNum w:abstractNumId="11">
    <w:nsid w:val="2FF51BD2"/>
    <w:multiLevelType w:val="singleLevel"/>
    <w:tmpl w:val="2FF51BD2"/>
    <w:lvl w:ilvl="0" w:tentative="0">
      <w:start w:val="1"/>
      <w:numFmt w:val="decimal"/>
      <w:suff w:val="space"/>
      <w:lvlText w:val="%1."/>
      <w:lvlJc w:val="left"/>
    </w:lvl>
  </w:abstractNum>
  <w:abstractNum w:abstractNumId="12">
    <w:nsid w:val="317F18B0"/>
    <w:multiLevelType w:val="singleLevel"/>
    <w:tmpl w:val="317F18B0"/>
    <w:lvl w:ilvl="0" w:tentative="0">
      <w:start w:val="1"/>
      <w:numFmt w:val="decimal"/>
      <w:suff w:val="space"/>
      <w:lvlText w:val="%1."/>
      <w:lvlJc w:val="left"/>
    </w:lvl>
  </w:abstractNum>
  <w:abstractNum w:abstractNumId="13">
    <w:nsid w:val="38C66789"/>
    <w:multiLevelType w:val="singleLevel"/>
    <w:tmpl w:val="38C66789"/>
    <w:lvl w:ilvl="0" w:tentative="0">
      <w:start w:val="1"/>
      <w:numFmt w:val="decimal"/>
      <w:suff w:val="space"/>
      <w:lvlText w:val="%1."/>
      <w:lvlJc w:val="left"/>
    </w:lvl>
  </w:abstractNum>
  <w:abstractNum w:abstractNumId="14">
    <w:nsid w:val="602BE080"/>
    <w:multiLevelType w:val="singleLevel"/>
    <w:tmpl w:val="602BE080"/>
    <w:lvl w:ilvl="0" w:tentative="0">
      <w:start w:val="1"/>
      <w:numFmt w:val="decimal"/>
      <w:suff w:val="space"/>
      <w:lvlText w:val="%1."/>
      <w:lvlJc w:val="left"/>
    </w:lvl>
  </w:abstractNum>
  <w:abstractNum w:abstractNumId="15">
    <w:nsid w:val="63ECFEA4"/>
    <w:multiLevelType w:val="singleLevel"/>
    <w:tmpl w:val="63ECFEA4"/>
    <w:lvl w:ilvl="0" w:tentative="0">
      <w:start w:val="1"/>
      <w:numFmt w:val="decimal"/>
      <w:suff w:val="space"/>
      <w:lvlText w:val="%1."/>
      <w:lvlJc w:val="left"/>
    </w:lvl>
  </w:abstractNum>
  <w:num w:numId="1">
    <w:abstractNumId w:val="10"/>
  </w:num>
  <w:num w:numId="2">
    <w:abstractNumId w:val="15"/>
  </w:num>
  <w:num w:numId="3">
    <w:abstractNumId w:val="7"/>
  </w:num>
  <w:num w:numId="4">
    <w:abstractNumId w:val="6"/>
  </w:num>
  <w:num w:numId="5">
    <w:abstractNumId w:val="5"/>
  </w:num>
  <w:num w:numId="6">
    <w:abstractNumId w:val="14"/>
  </w:num>
  <w:num w:numId="7">
    <w:abstractNumId w:val="0"/>
  </w:num>
  <w:num w:numId="8">
    <w:abstractNumId w:val="4"/>
  </w:num>
  <w:num w:numId="9">
    <w:abstractNumId w:val="11"/>
  </w:num>
  <w:num w:numId="10">
    <w:abstractNumId w:val="3"/>
  </w:num>
  <w:num w:numId="11">
    <w:abstractNumId w:val="8"/>
  </w:num>
  <w:num w:numId="12">
    <w:abstractNumId w:val="1"/>
  </w:num>
  <w:num w:numId="13">
    <w:abstractNumId w:val="2"/>
  </w:num>
  <w:num w:numId="14">
    <w:abstractNumId w:val="9"/>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E343FA"/>
    <w:rsid w:val="06384A8D"/>
    <w:rsid w:val="095B2E78"/>
    <w:rsid w:val="0F205179"/>
    <w:rsid w:val="20E343FA"/>
    <w:rsid w:val="239857CE"/>
    <w:rsid w:val="29890093"/>
    <w:rsid w:val="2ED81174"/>
    <w:rsid w:val="34337579"/>
    <w:rsid w:val="38DB3CBD"/>
    <w:rsid w:val="3A4C5A39"/>
    <w:rsid w:val="51E30F42"/>
    <w:rsid w:val="564F5431"/>
    <w:rsid w:val="56B05446"/>
    <w:rsid w:val="58EB096C"/>
    <w:rsid w:val="5943350B"/>
    <w:rsid w:val="5C50049E"/>
    <w:rsid w:val="5D7D736A"/>
    <w:rsid w:val="6736645D"/>
    <w:rsid w:val="67F904C4"/>
    <w:rsid w:val="6BE20520"/>
    <w:rsid w:val="6E027099"/>
    <w:rsid w:val="6E3460DE"/>
    <w:rsid w:val="775A6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4"/>
    <w:basedOn w:val="1"/>
    <w:next w:val="1"/>
    <w:qFormat/>
    <w:uiPriority w:val="0"/>
    <w:pPr>
      <w:ind w:left="1260" w:leftChars="600"/>
    </w:pPr>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FollowedHyperlink"/>
    <w:basedOn w:val="14"/>
    <w:qFormat/>
    <w:uiPriority w:val="0"/>
    <w:rPr>
      <w:color w:val="800080"/>
      <w:u w:val="single"/>
    </w:rPr>
  </w:style>
  <w:style w:type="character" w:styleId="17">
    <w:name w:val="Hyperlink"/>
    <w:basedOn w:val="1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5215</Words>
  <Characters>5554</Characters>
  <Lines>0</Lines>
  <Paragraphs>0</Paragraphs>
  <TotalTime>2</TotalTime>
  <ScaleCrop>false</ScaleCrop>
  <LinksUpToDate>false</LinksUpToDate>
  <CharactersWithSpaces>5807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2026-08-27T14:20:00Z</dcterms:created>
  <dc:creator>WPS_1635080546</dc:creator>
  <cp:lastModifiedBy>WPS_1635080546</cp:lastModifiedBy>
  <dcterms:modified xsi:type="dcterms:W3CDTF">2026-10-22T05:44:10Z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1E618DB3FA064DBD8037F101E9B485CC_13</vt:lpwstr>
  </property>
  <property fmtid="{D5CDD505-2E9C-101B-9397-08002B2CF9AE}" pid="4" name="KSOTemplateDocerSaveRecord">
    <vt:lpwstr>eyJoZGlkIjoiNDM0MThmNjI2NWY5N2ZlYzY2ZWI3NTBjODJhZWJlM2UiLCJ1c2VySWQiOiIxMjg3MjgxMzM5In0=</vt:lpwstr>
  </property>
</Properties>
</file>