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4B" w:rsidRPr="00195591" w:rsidRDefault="00314E4B" w:rsidP="00314E4B">
      <w:pPr>
        <w:jc w:val="center"/>
        <w:rPr>
          <w:rFonts w:ascii="Times New Roman" w:hAnsi="Times New Roman" w:cs="Times New Roman"/>
          <w:sz w:val="32"/>
        </w:rPr>
      </w:pPr>
      <w:r w:rsidRPr="00195591">
        <w:rPr>
          <w:rFonts w:ascii="Times New Roman" w:hAnsi="Times New Roman" w:cs="Times New Roman"/>
          <w:sz w:val="32"/>
        </w:rPr>
        <w:t xml:space="preserve">Exercise </w:t>
      </w:r>
      <w:r>
        <w:rPr>
          <w:rFonts w:ascii="Times New Roman" w:hAnsi="Times New Roman" w:cs="Times New Roman" w:hint="eastAsia"/>
          <w:sz w:val="32"/>
        </w:rPr>
        <w:t>4</w:t>
      </w:r>
    </w:p>
    <w:p w:rsidR="00314E4B" w:rsidRPr="00195591" w:rsidRDefault="00314E4B" w:rsidP="00314E4B">
      <w:pPr>
        <w:jc w:val="center"/>
        <w:rPr>
          <w:rFonts w:ascii="Times New Roman" w:hAnsi="Times New Roman" w:cs="Times New Roman"/>
          <w:sz w:val="24"/>
        </w:rPr>
      </w:pPr>
      <w:r w:rsidRPr="00195591">
        <w:rPr>
          <w:rFonts w:ascii="Times New Roman" w:hAnsi="Times New Roman" w:cs="Times New Roman"/>
          <w:sz w:val="24"/>
        </w:rPr>
        <w:t>Hou, Jue</w:t>
      </w:r>
    </w:p>
    <w:p w:rsidR="00314E4B" w:rsidRPr="00195591" w:rsidRDefault="00314E4B" w:rsidP="00314E4B">
      <w:pPr>
        <w:jc w:val="center"/>
        <w:rPr>
          <w:rFonts w:ascii="Times New Roman" w:hAnsi="Times New Roman" w:cs="Times New Roman"/>
          <w:sz w:val="24"/>
        </w:rPr>
      </w:pPr>
      <w:r w:rsidRPr="00195591">
        <w:rPr>
          <w:rFonts w:ascii="Times New Roman" w:hAnsi="Times New Roman" w:cs="Times New Roman"/>
          <w:sz w:val="24"/>
        </w:rPr>
        <w:t>014695647</w:t>
      </w:r>
    </w:p>
    <w:p w:rsidR="00BB304E" w:rsidRPr="001B1282" w:rsidRDefault="001B1282" w:rsidP="001B128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B1282">
        <w:rPr>
          <w:rFonts w:ascii="Times New Roman" w:hAnsi="Times New Roman" w:cs="Times New Roman"/>
          <w:kern w:val="0"/>
          <w:sz w:val="28"/>
          <w:szCs w:val="28"/>
        </w:rPr>
        <w:t>Regularized linear regression</w:t>
      </w:r>
    </w:p>
    <w:p w:rsidR="001B1282" w:rsidRPr="003F45A1" w:rsidRDefault="008914F3" w:rsidP="001B1282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Cs w:val="21"/>
                </w:rPr>
                <m:t>w</m:t>
              </m:r>
              <m:ctrlPr>
                <w:rPr>
                  <w:rFonts w:ascii="Cambria Math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1"/>
            </w:rPr>
            <m:t>y</m:t>
          </m:r>
        </m:oMath>
      </m:oMathPara>
    </w:p>
    <w:p w:rsidR="003F45A1" w:rsidRPr="003F45A1" w:rsidRDefault="008914F3" w:rsidP="003F45A1">
      <w:pPr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Cs w:val="21"/>
                </w:rPr>
                <m:t>w</m:t>
              </m:r>
              <m:ctrlPr>
                <w:rPr>
                  <w:rFonts w:ascii="Cambria Math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 w:cs="Times New Roman"/>
                  <w:szCs w:val="21"/>
                </w:rPr>
                <m:t>λ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1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X+λI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I+λ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</m:oMath>
      </m:oMathPara>
    </w:p>
    <w:p w:rsidR="001B1282" w:rsidRPr="001B1282" w:rsidRDefault="00234BFD" w:rsidP="001B128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With </w:t>
      </w:r>
      <m:oMath>
        <m:r>
          <w:rPr>
            <w:rFonts w:ascii="Cambria Math" w:hAnsi="Cambria Math" w:cs="Times New Roman"/>
            <w:szCs w:val="21"/>
          </w:rPr>
          <m:t>λ</m:t>
        </m:r>
      </m:oMath>
      <w:r>
        <w:rPr>
          <w:rFonts w:ascii="Times New Roman" w:hAnsi="Times New Roman" w:cs="Times New Roman" w:hint="eastAsia"/>
          <w:szCs w:val="21"/>
        </w:rPr>
        <w:t xml:space="preserve"> increasing, the solution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λ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will decrease to 0, which leads to that estimate will </w:t>
      </w:r>
      <w:r w:rsidR="00446C59">
        <w:rPr>
          <w:rFonts w:ascii="Times New Roman" w:hAnsi="Times New Roman" w:cs="Times New Roman" w:hint="eastAsia"/>
          <w:szCs w:val="21"/>
        </w:rPr>
        <w:t xml:space="preserve">be pulled to 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0</w:t>
      </w:r>
    </w:p>
    <w:p w:rsidR="001B1282" w:rsidRDefault="001B1282" w:rsidP="001B128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1B1282">
        <w:rPr>
          <w:rFonts w:ascii="Times New Roman" w:hAnsi="Times New Roman" w:cs="Times New Roman"/>
          <w:kern w:val="0"/>
          <w:sz w:val="28"/>
          <w:szCs w:val="28"/>
        </w:rPr>
        <w:t>Stochastic neighbor embedding</w:t>
      </w:r>
    </w:p>
    <w:p w:rsidR="0005432B" w:rsidRDefault="0005432B" w:rsidP="001B128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 following two plot visualize initial PCA and the final SNE</w:t>
      </w:r>
      <w:r w:rsidR="00EA3B89">
        <w:rPr>
          <w:rFonts w:ascii="Times New Roman" w:hAnsi="Times New Roman" w:cs="Times New Roman" w:hint="eastAsia"/>
          <w:szCs w:val="21"/>
        </w:rPr>
        <w:t xml:space="preserve"> representations:</w:t>
      </w:r>
    </w:p>
    <w:p w:rsidR="001B1282" w:rsidRDefault="0005432B" w:rsidP="001B128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531059" cy="200548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939" cy="20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640787" cy="201180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413" cy="20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2B" w:rsidRDefault="0099470C" w:rsidP="001B128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following plot shows </w:t>
      </w:r>
      <w:r>
        <w:rPr>
          <w:rFonts w:ascii="CMR10" w:hAnsi="CMR10" w:cs="CMR10"/>
          <w:kern w:val="0"/>
          <w:sz w:val="20"/>
          <w:szCs w:val="20"/>
        </w:rPr>
        <w:t>training loss as a function of the algorithm iteration.</w:t>
      </w:r>
    </w:p>
    <w:p w:rsidR="0005432B" w:rsidRDefault="009A100C" w:rsidP="009A100C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846621" cy="2231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58" cy="22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6F" w:rsidRPr="00FE4BC8" w:rsidRDefault="00867539" w:rsidP="001B128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Cs w:val="21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ij</m:t>
            </m:r>
          </m:sub>
        </m:sSub>
      </m:oMath>
      <w:r w:rsidR="00FE4BC8">
        <w:rPr>
          <w:rFonts w:ascii="Times New Roman" w:hAnsi="Times New Roman" w:cs="Times New Roman" w:hint="eastAsia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ij</m:t>
            </m:r>
          </m:sub>
        </m:sSub>
      </m:oMath>
      <w:r w:rsidR="00FE4BC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will control</w:t>
      </w:r>
      <w:r w:rsidR="00FE4BC8">
        <w:rPr>
          <w:rFonts w:ascii="Times New Roman" w:hAnsi="Times New Roman" w:cs="Times New Roman" w:hint="eastAsia"/>
          <w:szCs w:val="21"/>
        </w:rPr>
        <w:t xml:space="preserve"> the </w:t>
      </w:r>
      <w:r w:rsidR="00FE4BC8">
        <w:rPr>
          <w:rFonts w:ascii="Times New Roman" w:hAnsi="Times New Roman" w:cs="Times New Roman"/>
          <w:szCs w:val="21"/>
        </w:rPr>
        <w:t>probabilit</w:t>
      </w:r>
      <w:r w:rsidR="00FE4BC8">
        <w:rPr>
          <w:rFonts w:ascii="Times New Roman" w:hAnsi="Times New Roman" w:cs="Times New Roman" w:hint="eastAsia"/>
          <w:szCs w:val="21"/>
        </w:rPr>
        <w:t>y of</w:t>
      </w:r>
      <w:r w:rsidR="008A12D0">
        <w:rPr>
          <w:rFonts w:ascii="Times New Roman" w:hAnsi="Times New Roman" w:cs="Times New Roman" w:hint="eastAsia"/>
          <w:szCs w:val="21"/>
        </w:rPr>
        <w:t xml:space="preserve"> that</w:t>
      </w:r>
      <w:r w:rsidR="00FE4BC8">
        <w:rPr>
          <w:rFonts w:ascii="Times New Roman" w:hAnsi="Times New Roman" w:cs="Times New Roman" w:hint="eastAsia"/>
          <w:szCs w:val="21"/>
        </w:rPr>
        <w:t xml:space="preserve"> data point i is a </w:t>
      </w:r>
      <w:r w:rsidR="00FE4BC8">
        <w:rPr>
          <w:rFonts w:ascii="Times New Roman" w:hAnsi="Times New Roman" w:cs="Times New Roman"/>
          <w:szCs w:val="21"/>
        </w:rPr>
        <w:t>neighbor</w:t>
      </w:r>
      <w:r w:rsidR="00FE4BC8">
        <w:rPr>
          <w:rFonts w:ascii="Times New Roman" w:hAnsi="Times New Roman" w:cs="Times New Roman" w:hint="eastAsia"/>
          <w:szCs w:val="21"/>
        </w:rPr>
        <w:t xml:space="preserve"> </w:t>
      </w:r>
      <w:r w:rsidR="0091016D">
        <w:rPr>
          <w:rFonts w:ascii="Times New Roman" w:hAnsi="Times New Roman" w:cs="Times New Roman" w:hint="eastAsia"/>
          <w:szCs w:val="21"/>
        </w:rPr>
        <w:t xml:space="preserve">of data point j in the original space and in the low-dimensional space </w:t>
      </w:r>
      <w:r w:rsidR="00683F77">
        <w:rPr>
          <w:rFonts w:ascii="Times New Roman" w:hAnsi="Times New Roman" w:cs="Times New Roman"/>
          <w:szCs w:val="21"/>
        </w:rPr>
        <w:t>respectively</w:t>
      </w:r>
      <w:r w:rsidR="0091016D">
        <w:rPr>
          <w:rFonts w:ascii="Times New Roman" w:hAnsi="Times New Roman" w:cs="Times New Roman" w:hint="eastAsia"/>
          <w:szCs w:val="21"/>
        </w:rPr>
        <w:t>.</w:t>
      </w:r>
      <w:r w:rsidR="00683F77">
        <w:rPr>
          <w:rFonts w:ascii="Times New Roman" w:hAnsi="Times New Roman" w:cs="Times New Roman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ij</m:t>
            </m:r>
          </m:sub>
        </m:sSub>
      </m:oMath>
      <w:r w:rsidR="00CE5E42">
        <w:rPr>
          <w:rFonts w:ascii="Times New Roman" w:hAnsi="Times New Roman" w:cs="Times New Roman" w:hint="eastAsia"/>
          <w:szCs w:val="21"/>
        </w:rPr>
        <w:t xml:space="preserve"> will match for the neighborhood of each point from original space to the project space. </w:t>
      </w:r>
      <w:r w:rsidR="000F160B">
        <w:rPr>
          <w:rFonts w:ascii="Times New Roman" w:hAnsi="Times New Roman" w:cs="Times New Roman" w:hint="eastAsia"/>
          <w:szCs w:val="21"/>
        </w:rPr>
        <w:t xml:space="preserve">The reason why we should use large value for former one is that in this dataset the </w:t>
      </w:r>
      <w:r w:rsidR="000F160B">
        <w:rPr>
          <w:rFonts w:ascii="Times New Roman" w:hAnsi="Times New Roman" w:cs="Times New Roman"/>
          <w:szCs w:val="21"/>
        </w:rPr>
        <w:t>Euclidean</w:t>
      </w:r>
      <w:r w:rsidR="000F160B">
        <w:rPr>
          <w:rFonts w:ascii="Times New Roman" w:hAnsi="Times New Roman" w:cs="Times New Roman" w:hint="eastAsia"/>
          <w:szCs w:val="21"/>
        </w:rPr>
        <w:t xml:space="preserve"> distance between two points is </w:t>
      </w:r>
      <w:r w:rsidR="000F160B">
        <w:rPr>
          <w:rFonts w:ascii="Times New Roman" w:hAnsi="Times New Roman" w:cs="Times New Roman"/>
          <w:szCs w:val="21"/>
        </w:rPr>
        <w:t>extrem</w:t>
      </w:r>
      <w:r w:rsidR="000F160B">
        <w:rPr>
          <w:rFonts w:ascii="Times New Roman" w:hAnsi="Times New Roman" w:cs="Times New Roman" w:hint="eastAsia"/>
          <w:szCs w:val="21"/>
        </w:rPr>
        <w:t>e</w:t>
      </w:r>
      <w:r w:rsidR="000F160B">
        <w:rPr>
          <w:rFonts w:ascii="Times New Roman" w:hAnsi="Times New Roman" w:cs="Times New Roman"/>
          <w:szCs w:val="21"/>
        </w:rPr>
        <w:t>ly</w:t>
      </w:r>
      <w:r w:rsidR="000F160B">
        <w:rPr>
          <w:rFonts w:ascii="Times New Roman" w:hAnsi="Times New Roman" w:cs="Times New Roman" w:hint="eastAsia"/>
          <w:szCs w:val="21"/>
        </w:rPr>
        <w:t xml:space="preserve"> large. By using large value, it can </w:t>
      </w:r>
      <w:r w:rsidR="005A0E3B">
        <w:rPr>
          <w:rFonts w:ascii="Times New Roman" w:hAnsi="Times New Roman" w:cs="Times New Roman" w:hint="eastAsia"/>
          <w:szCs w:val="21"/>
        </w:rPr>
        <w:t>decrease</w:t>
      </w:r>
      <w:r w:rsidR="000F160B">
        <w:rPr>
          <w:rFonts w:ascii="Times New Roman" w:hAnsi="Times New Roman" w:cs="Times New Roman" w:hint="eastAsia"/>
          <w:szCs w:val="21"/>
        </w:rPr>
        <w:t xml:space="preserve"> the effect of large</w:t>
      </w:r>
      <w:r w:rsidR="00D12AF5">
        <w:rPr>
          <w:rFonts w:ascii="Times New Roman" w:hAnsi="Times New Roman" w:cs="Times New Roman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ij</m:t>
            </m:r>
          </m:sub>
        </m:sSub>
      </m:oMath>
      <w:r w:rsidR="000F160B">
        <w:rPr>
          <w:rFonts w:ascii="Times New Roman" w:hAnsi="Times New Roman" w:cs="Times New Roman" w:hint="eastAsia"/>
          <w:szCs w:val="21"/>
        </w:rPr>
        <w:t>.</w:t>
      </w:r>
    </w:p>
    <w:p w:rsidR="001B1282" w:rsidRPr="001B1282" w:rsidRDefault="001B1282" w:rsidP="001B128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1B1282">
        <w:rPr>
          <w:rFonts w:ascii="Times New Roman" w:hAnsi="Times New Roman" w:cs="Times New Roman"/>
          <w:kern w:val="0"/>
          <w:sz w:val="28"/>
          <w:szCs w:val="28"/>
        </w:rPr>
        <w:lastRenderedPageBreak/>
        <w:t>Non-negative matrix factorization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9"/>
        <w:gridCol w:w="2292"/>
        <w:gridCol w:w="1121"/>
      </w:tblGrid>
      <w:tr w:rsidR="004E419D" w:rsidTr="00036B61">
        <w:tc>
          <w:tcPr>
            <w:tcW w:w="0" w:type="auto"/>
          </w:tcPr>
          <w:p w:rsidR="004E419D" w:rsidRDefault="004E419D"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4E419D" w:rsidRDefault="004E419D">
            <w:r>
              <w:rPr>
                <w:rFonts w:hint="eastAsia"/>
              </w:rPr>
              <w:t>Final Training Loss(NMF)</w:t>
            </w:r>
          </w:p>
        </w:tc>
        <w:tc>
          <w:tcPr>
            <w:tcW w:w="0" w:type="auto"/>
          </w:tcPr>
          <w:p w:rsidR="004E419D" w:rsidRDefault="004E419D">
            <w:r>
              <w:rPr>
                <w:rFonts w:hint="eastAsia"/>
              </w:rPr>
              <w:t>Loss(PCA)</w:t>
            </w:r>
          </w:p>
        </w:tc>
      </w:tr>
      <w:tr w:rsidR="004E419D" w:rsidTr="00036B61">
        <w:tc>
          <w:tcPr>
            <w:tcW w:w="0" w:type="auto"/>
          </w:tcPr>
          <w:p w:rsidR="004E419D" w:rsidRDefault="004231A6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4E419D" w:rsidRDefault="004231A6">
            <w:r w:rsidRPr="004231A6">
              <w:t>225129.56</w:t>
            </w:r>
          </w:p>
        </w:tc>
        <w:tc>
          <w:tcPr>
            <w:tcW w:w="0" w:type="auto"/>
          </w:tcPr>
          <w:p w:rsidR="004E419D" w:rsidRDefault="004231A6">
            <w:r w:rsidRPr="004231A6">
              <w:t>221364.13</w:t>
            </w:r>
          </w:p>
        </w:tc>
      </w:tr>
      <w:tr w:rsidR="004E419D" w:rsidTr="00036B61">
        <w:tc>
          <w:tcPr>
            <w:tcW w:w="0" w:type="auto"/>
          </w:tcPr>
          <w:p w:rsidR="004E419D" w:rsidRDefault="004231A6"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4E419D" w:rsidRDefault="004231A6">
            <w:r w:rsidRPr="004231A6">
              <w:t>168906.89</w:t>
            </w:r>
          </w:p>
        </w:tc>
        <w:tc>
          <w:tcPr>
            <w:tcW w:w="0" w:type="auto"/>
          </w:tcPr>
          <w:p w:rsidR="004E419D" w:rsidRDefault="004231A6">
            <w:r>
              <w:t>162254.3</w:t>
            </w:r>
            <w:r>
              <w:rPr>
                <w:rFonts w:hint="eastAsia"/>
              </w:rPr>
              <w:t>6</w:t>
            </w:r>
          </w:p>
        </w:tc>
      </w:tr>
      <w:tr w:rsidR="004E419D" w:rsidTr="00036B61">
        <w:tc>
          <w:tcPr>
            <w:tcW w:w="0" w:type="auto"/>
          </w:tcPr>
          <w:p w:rsidR="004E419D" w:rsidRDefault="004231A6">
            <w:r>
              <w:rPr>
                <w:rFonts w:hint="eastAsia"/>
              </w:rPr>
              <w:t>64</w:t>
            </w:r>
          </w:p>
        </w:tc>
        <w:tc>
          <w:tcPr>
            <w:tcW w:w="0" w:type="auto"/>
          </w:tcPr>
          <w:p w:rsidR="004E419D" w:rsidRDefault="004231A6">
            <w:r w:rsidRPr="004231A6">
              <w:t>62369.67</w:t>
            </w:r>
          </w:p>
        </w:tc>
        <w:tc>
          <w:tcPr>
            <w:tcW w:w="0" w:type="auto"/>
          </w:tcPr>
          <w:p w:rsidR="004E419D" w:rsidRDefault="004231A6">
            <w:r w:rsidRPr="004231A6">
              <w:t>54352.83</w:t>
            </w:r>
          </w:p>
        </w:tc>
      </w:tr>
    </w:tbl>
    <w:p w:rsidR="00570B06" w:rsidRDefault="00B56323">
      <w:r>
        <w:rPr>
          <w:rFonts w:hint="eastAsia"/>
        </w:rPr>
        <w:t>With the increasing value of K, both the loss of NMF and PCA decreased.</w:t>
      </w:r>
      <w:r w:rsidR="00E74D92">
        <w:rPr>
          <w:rFonts w:hint="eastAsia"/>
        </w:rPr>
        <w:t xml:space="preserve"> It is noticeable that, i</w:t>
      </w:r>
      <w:r w:rsidR="001E5872">
        <w:rPr>
          <w:rFonts w:hint="eastAsia"/>
        </w:rPr>
        <w:t>n all choices of K, PCA performs better than NMF</w:t>
      </w:r>
      <w:r w:rsidR="00C9420E">
        <w:rPr>
          <w:rFonts w:hint="eastAsia"/>
        </w:rPr>
        <w:t xml:space="preserve">. </w:t>
      </w:r>
      <w:r w:rsidR="00437EF8">
        <w:rPr>
          <w:rFonts w:hint="eastAsia"/>
        </w:rPr>
        <w:t xml:space="preserve">The reason for that, I think, is because that NMF is </w:t>
      </w:r>
      <w:r w:rsidR="009761C3">
        <w:t>constraine</w:t>
      </w:r>
      <w:r w:rsidR="009761C3">
        <w:rPr>
          <w:rFonts w:hint="eastAsia"/>
        </w:rPr>
        <w:t>d</w:t>
      </w:r>
      <w:r w:rsidR="00437EF8">
        <w:rPr>
          <w:rFonts w:hint="eastAsia"/>
        </w:rPr>
        <w:t xml:space="preserve"> to have non-negative numerical </w:t>
      </w:r>
      <w:r w:rsidR="005B6BF3">
        <w:rPr>
          <w:rFonts w:hint="eastAsia"/>
        </w:rPr>
        <w:t>result</w:t>
      </w:r>
      <w:r w:rsidR="00437EF8">
        <w:rPr>
          <w:rFonts w:hint="eastAsia"/>
        </w:rPr>
        <w:t xml:space="preserve"> in every dimension, while PCA is not constrained in this way</w:t>
      </w:r>
      <w:r w:rsidR="00897D3E">
        <w:rPr>
          <w:rFonts w:hint="eastAsia"/>
        </w:rPr>
        <w:t xml:space="preserve">. Therefore, PCA </w:t>
      </w:r>
      <w:r w:rsidR="00570B06">
        <w:rPr>
          <w:rFonts w:hint="eastAsia"/>
        </w:rPr>
        <w:t>may</w:t>
      </w:r>
      <w:r w:rsidR="003E0D4E">
        <w:rPr>
          <w:rFonts w:hint="eastAsia"/>
        </w:rPr>
        <w:t xml:space="preserve"> fit</w:t>
      </w:r>
      <w:r w:rsidR="00322DA0">
        <w:rPr>
          <w:rFonts w:hint="eastAsia"/>
        </w:rPr>
        <w:t xml:space="preserve"> the</w:t>
      </w:r>
      <w:r w:rsidR="0081003D">
        <w:rPr>
          <w:rFonts w:hint="eastAsia"/>
        </w:rPr>
        <w:t xml:space="preserve"> data better, though there might be negative value. </w:t>
      </w:r>
      <w:r w:rsidR="00AF79B0">
        <w:rPr>
          <w:rFonts w:hint="eastAsia"/>
        </w:rPr>
        <w:t xml:space="preserve">Another reason is that </w:t>
      </w:r>
      <w:r w:rsidR="002C1398">
        <w:rPr>
          <w:rFonts w:hint="eastAsia"/>
        </w:rPr>
        <w:t xml:space="preserve">what NMF find might only be </w:t>
      </w:r>
      <w:r w:rsidR="00AF79B0">
        <w:rPr>
          <w:rFonts w:hint="eastAsia"/>
        </w:rPr>
        <w:t xml:space="preserve">a local </w:t>
      </w:r>
      <w:r w:rsidR="00FB6E4F">
        <w:rPr>
          <w:rFonts w:hint="eastAsia"/>
        </w:rPr>
        <w:t>optimal solution</w:t>
      </w:r>
      <w:r w:rsidR="00AF79B0">
        <w:rPr>
          <w:rFonts w:hint="eastAsia"/>
        </w:rPr>
        <w:t xml:space="preserve">. What PCA find </w:t>
      </w:r>
      <w:r w:rsidR="00AF79B0">
        <w:t>are actually the global optima</w:t>
      </w:r>
      <w:r w:rsidR="00AF79B0">
        <w:rPr>
          <w:rFonts w:hint="eastAsia"/>
        </w:rPr>
        <w:t>. Th</w:t>
      </w:r>
      <w:r w:rsidR="00FB6E4F">
        <w:rPr>
          <w:rFonts w:hint="eastAsia"/>
        </w:rPr>
        <w:t>at</w:t>
      </w:r>
      <w:r w:rsidR="00FB6E4F">
        <w:t>’</w:t>
      </w:r>
      <w:r w:rsidR="00FB6E4F">
        <w:rPr>
          <w:rFonts w:hint="eastAsia"/>
        </w:rPr>
        <w:t>s why</w:t>
      </w:r>
      <w:r w:rsidR="00B67F14">
        <w:rPr>
          <w:rFonts w:hint="eastAsia"/>
        </w:rPr>
        <w:t xml:space="preserve"> PCA performs better than NMF.</w:t>
      </w:r>
    </w:p>
    <w:p w:rsidR="00570B06" w:rsidRDefault="00570B06">
      <w:r>
        <w:rPr>
          <w:rFonts w:hint="eastAsia"/>
        </w:rPr>
        <w:t xml:space="preserve">The </w:t>
      </w:r>
      <w:r w:rsidR="00427B79">
        <w:rPr>
          <w:rFonts w:hint="eastAsia"/>
        </w:rPr>
        <w:t>following pictures are the visualization of NMF and PCA for K=8, K=16 and K=64:</w:t>
      </w:r>
    </w:p>
    <w:p w:rsidR="00CF7FA7" w:rsidRDefault="00FA4D0D" w:rsidP="0046413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82343" cy="1692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f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99" cy="16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FA7">
        <w:rPr>
          <w:rFonts w:hint="eastAsia"/>
          <w:noProof/>
        </w:rPr>
        <w:drawing>
          <wp:inline distT="0" distB="0" distL="0" distR="0" wp14:anchorId="44B8AEC1" wp14:editId="7C150CA8">
            <wp:extent cx="2288983" cy="16971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28" cy="17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82" w:rsidRPr="001E5872" w:rsidRDefault="00FA4D0D" w:rsidP="0046413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75027" cy="16407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f_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616" cy="16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FA7">
        <w:rPr>
          <w:rFonts w:hint="eastAsia"/>
          <w:noProof/>
        </w:rPr>
        <w:drawing>
          <wp:inline distT="0" distB="0" distL="0" distR="0" wp14:anchorId="6A0E1D09" wp14:editId="3A7CC8FF">
            <wp:extent cx="2311603" cy="16671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_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257" cy="16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5690" cy="17663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f_6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99" cy="17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0320" cy="1776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_6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11" cy="17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82" w:rsidRDefault="003B4311">
      <w:r>
        <w:rPr>
          <w:rFonts w:hint="eastAsia"/>
        </w:rPr>
        <w:t>I think K=16 is the most useful choice.</w:t>
      </w:r>
      <w:r w:rsidR="00F50177">
        <w:rPr>
          <w:rFonts w:hint="eastAsia"/>
        </w:rPr>
        <w:t xml:space="preserve"> </w:t>
      </w:r>
      <w:r w:rsidR="008A2D3A">
        <w:rPr>
          <w:rFonts w:hint="eastAsia"/>
        </w:rPr>
        <w:t xml:space="preserve">We can </w:t>
      </w:r>
      <w:r w:rsidR="008A2D3A">
        <w:t>interpret</w:t>
      </w:r>
      <w:r w:rsidR="008A2D3A">
        <w:rPr>
          <w:rFonts w:hint="eastAsia"/>
        </w:rPr>
        <w:t xml:space="preserve"> from its visualization. Meanwhile, a relative small loss can be obtained.</w:t>
      </w:r>
    </w:p>
    <w:p w:rsidR="005856FD" w:rsidRDefault="005856FD"/>
    <w:p w:rsidR="005856FD" w:rsidRPr="0074514A" w:rsidRDefault="005856FD">
      <w:pPr>
        <w:rPr>
          <w:sz w:val="22"/>
        </w:rPr>
      </w:pPr>
      <w:r w:rsidRPr="0074514A">
        <w:rPr>
          <w:rFonts w:hint="eastAsia"/>
          <w:sz w:val="22"/>
        </w:rPr>
        <w:t xml:space="preserve">Estimated complete time: </w:t>
      </w:r>
      <w:r w:rsidR="007D14AD">
        <w:rPr>
          <w:rFonts w:hint="eastAsia"/>
          <w:sz w:val="22"/>
        </w:rPr>
        <w:t>7</w:t>
      </w:r>
      <w:r w:rsidR="00982F58">
        <w:rPr>
          <w:rFonts w:hint="eastAsia"/>
          <w:sz w:val="22"/>
        </w:rPr>
        <w:t>.5</w:t>
      </w:r>
      <w:r w:rsidRPr="0074514A">
        <w:rPr>
          <w:rFonts w:hint="eastAsia"/>
          <w:sz w:val="22"/>
        </w:rPr>
        <w:t>h</w:t>
      </w:r>
    </w:p>
    <w:sectPr w:rsidR="005856FD" w:rsidRPr="0074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4F3" w:rsidRDefault="008914F3" w:rsidP="00E246B6">
      <w:r>
        <w:separator/>
      </w:r>
    </w:p>
  </w:endnote>
  <w:endnote w:type="continuationSeparator" w:id="0">
    <w:p w:rsidR="008914F3" w:rsidRDefault="008914F3" w:rsidP="00E2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4F3" w:rsidRDefault="008914F3" w:rsidP="00E246B6">
      <w:r>
        <w:separator/>
      </w:r>
    </w:p>
  </w:footnote>
  <w:footnote w:type="continuationSeparator" w:id="0">
    <w:p w:rsidR="008914F3" w:rsidRDefault="008914F3" w:rsidP="00E2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6FE9"/>
    <w:multiLevelType w:val="hybridMultilevel"/>
    <w:tmpl w:val="2D0CB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46"/>
    <w:rsid w:val="00036B61"/>
    <w:rsid w:val="000477B6"/>
    <w:rsid w:val="0005432B"/>
    <w:rsid w:val="000F160B"/>
    <w:rsid w:val="001B1282"/>
    <w:rsid w:val="001E5872"/>
    <w:rsid w:val="00203836"/>
    <w:rsid w:val="00234BFD"/>
    <w:rsid w:val="002A7493"/>
    <w:rsid w:val="002B4198"/>
    <w:rsid w:val="002C0F62"/>
    <w:rsid w:val="002C1398"/>
    <w:rsid w:val="00314E4B"/>
    <w:rsid w:val="00322DA0"/>
    <w:rsid w:val="003B4311"/>
    <w:rsid w:val="003E0D4E"/>
    <w:rsid w:val="003F27FA"/>
    <w:rsid w:val="003F45A1"/>
    <w:rsid w:val="004231A6"/>
    <w:rsid w:val="00427B79"/>
    <w:rsid w:val="00437EF8"/>
    <w:rsid w:val="00446C59"/>
    <w:rsid w:val="00464131"/>
    <w:rsid w:val="004E2446"/>
    <w:rsid w:val="004E419D"/>
    <w:rsid w:val="00570B06"/>
    <w:rsid w:val="005856FD"/>
    <w:rsid w:val="005A0E3B"/>
    <w:rsid w:val="005B6BF3"/>
    <w:rsid w:val="00683F77"/>
    <w:rsid w:val="0074514A"/>
    <w:rsid w:val="007D14AD"/>
    <w:rsid w:val="007F1C89"/>
    <w:rsid w:val="0081003D"/>
    <w:rsid w:val="00867539"/>
    <w:rsid w:val="008914F3"/>
    <w:rsid w:val="00897D3E"/>
    <w:rsid w:val="008A12D0"/>
    <w:rsid w:val="008A2D3A"/>
    <w:rsid w:val="0091016D"/>
    <w:rsid w:val="00953F7A"/>
    <w:rsid w:val="009761C3"/>
    <w:rsid w:val="00982F58"/>
    <w:rsid w:val="0099470C"/>
    <w:rsid w:val="009A100C"/>
    <w:rsid w:val="009E49C6"/>
    <w:rsid w:val="00A00A42"/>
    <w:rsid w:val="00A057BE"/>
    <w:rsid w:val="00A64833"/>
    <w:rsid w:val="00AC50F9"/>
    <w:rsid w:val="00AF79B0"/>
    <w:rsid w:val="00B1256F"/>
    <w:rsid w:val="00B56323"/>
    <w:rsid w:val="00B67F14"/>
    <w:rsid w:val="00BB304E"/>
    <w:rsid w:val="00BE2FDE"/>
    <w:rsid w:val="00C60151"/>
    <w:rsid w:val="00C76D91"/>
    <w:rsid w:val="00C9420E"/>
    <w:rsid w:val="00CA3844"/>
    <w:rsid w:val="00CE5E42"/>
    <w:rsid w:val="00CF7FA7"/>
    <w:rsid w:val="00D10179"/>
    <w:rsid w:val="00D12AF5"/>
    <w:rsid w:val="00D51367"/>
    <w:rsid w:val="00DF1301"/>
    <w:rsid w:val="00E246B6"/>
    <w:rsid w:val="00E74D92"/>
    <w:rsid w:val="00E95945"/>
    <w:rsid w:val="00EA3B89"/>
    <w:rsid w:val="00EF1510"/>
    <w:rsid w:val="00F44ACD"/>
    <w:rsid w:val="00F50177"/>
    <w:rsid w:val="00F97B84"/>
    <w:rsid w:val="00FA4D0D"/>
    <w:rsid w:val="00FB6E4F"/>
    <w:rsid w:val="00FC2DF3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8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F45A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F45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45A1"/>
    <w:rPr>
      <w:sz w:val="18"/>
      <w:szCs w:val="18"/>
    </w:rPr>
  </w:style>
  <w:style w:type="table" w:styleId="a6">
    <w:name w:val="Table Grid"/>
    <w:basedOn w:val="a1"/>
    <w:uiPriority w:val="59"/>
    <w:rsid w:val="004E4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2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46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4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8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F45A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F45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45A1"/>
    <w:rPr>
      <w:sz w:val="18"/>
      <w:szCs w:val="18"/>
    </w:rPr>
  </w:style>
  <w:style w:type="table" w:styleId="a6">
    <w:name w:val="Table Grid"/>
    <w:basedOn w:val="a1"/>
    <w:uiPriority w:val="59"/>
    <w:rsid w:val="004E4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2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46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4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305</Words>
  <Characters>1744</Characters>
  <Application>Microsoft Office Word</Application>
  <DocSecurity>0</DocSecurity>
  <Lines>14</Lines>
  <Paragraphs>4</Paragraphs>
  <ScaleCrop>false</ScaleCrop>
  <Company>hj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69</cp:revision>
  <cp:lastPrinted>2017-04-12T07:34:00Z</cp:lastPrinted>
  <dcterms:created xsi:type="dcterms:W3CDTF">2017-04-08T17:36:00Z</dcterms:created>
  <dcterms:modified xsi:type="dcterms:W3CDTF">2017-04-12T07:35:00Z</dcterms:modified>
</cp:coreProperties>
</file>