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Liberation Mono" w:hAnsi="Liberation Mono"/>
          <w:b w:val="false"/>
          <w:i w:val="false"/>
          <w:sz w:val="22"/>
        </w:rPr>
        <w:t>3,</w:t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ndl</m:t>
            </m:r>
          </m:sub>
        </m:sSub>
        <m:r>
          <w:rPr>
            <w:rFonts w:ascii="Cambria Math" w:hAnsi="Cambria Math"/>
          </w:rPr>
          <m:t xml:space="preserve">∼</m:t>
        </m:r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sup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sup>
                  <m:e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sub>
                        </m:sSub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pqr</m:t>
                            </m:r>
                          </m:sub>
                        </m:sSub>
                      </m:e>
                    </m:nary>
                  </m:e>
                </m:nary>
              </m:e>
            </m:nary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np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dq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lr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p>
              <m:e>
                <m:r>
                  <w:rPr>
                    <w:rFonts w:ascii="Cambria Math" w:hAnsi="Cambria Math"/>
                  </w:rPr>
                  <m:t xml:space="preserve">τ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e>
        </m:d>
      </m:oMath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np</m:t>
            </m:r>
          </m:sub>
        </m:sSub>
        <m:r>
          <w:rPr>
            <w:rFonts w:ascii="Cambria Math" w:hAnsi="Cambria Math"/>
          </w:rPr>
          <m:t xml:space="preserve">∼</m:t>
        </m:r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0,1</m:t>
            </m:r>
          </m:e>
        </m:d>
      </m:oMath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dq</m:t>
            </m:r>
          </m:sub>
        </m:sSub>
        <m:r>
          <w:rPr>
            <w:rFonts w:ascii="Cambria Math" w:hAnsi="Cambria Math"/>
          </w:rPr>
          <m:t xml:space="preserve">∼</m:t>
        </m:r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0,1</m:t>
            </m:r>
          </m:e>
        </m:d>
      </m:oMath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lr</m:t>
            </m:r>
          </m:sub>
        </m:sSub>
        <m:r>
          <w:rPr>
            <w:rFonts w:ascii="Cambria Math" w:hAnsi="Cambria Math"/>
          </w:rPr>
          <m:t xml:space="preserve">∼</m:t>
        </m:r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0,1</m:t>
            </m:r>
          </m:e>
        </m:d>
      </m:oMath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pqr</m:t>
            </m:r>
          </m:sub>
        </m:sSub>
        <m:r>
          <w:rPr>
            <w:rFonts w:ascii="Cambria Math" w:hAnsi="Cambria Math"/>
          </w:rPr>
          <m:t xml:space="preserve">|</m:t>
        </m:r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pqr</m:t>
            </m:r>
          </m:sub>
        </m:sSub>
        <m:r>
          <w:rPr>
            <w:rFonts w:ascii="Cambria Math" w:hAnsi="Cambria Math"/>
          </w:rPr>
          <m:t xml:space="preserve">∼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pqr</m:t>
            </m:r>
          </m:sub>
        </m:sSub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pqr</m:t>
                </m:r>
              </m:sub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bSup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pqr</m:t>
                </m:r>
              </m:sub>
            </m:sSub>
          </m:e>
        </m:d>
        <m:sSub>
          <m:e>
            <m:r>
              <w:rPr>
                <w:rFonts w:ascii="Cambria Math" w:hAnsi="Cambria Math"/>
              </w:rPr>
              <m:t xml:space="preserve">δ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pqr</m:t>
            </m:r>
          </m:sub>
        </m:sSub>
        <m:r>
          <w:rPr>
            <w:rFonts w:ascii="Cambria Math" w:hAnsi="Cambria Math"/>
          </w:rPr>
          <m:t xml:space="preserve">∼</m:t>
        </m:r>
        <m:r>
          <w:rPr>
            <w:rFonts w:ascii="Cambria Math" w:hAnsi="Cambria Math"/>
          </w:rPr>
          <m:t xml:space="preserve">Bernoulli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π</m:t>
                </m:r>
              </m:e>
              <m:sub>
                <m:r>
                  <w:rPr>
                    <w:rFonts w:ascii="Cambria Math" w:hAnsi="Cambria Math"/>
                  </w:rPr>
                  <m:t xml:space="preserve">pqr</m:t>
                </m:r>
              </m:sub>
            </m:sSub>
          </m:e>
        </m:d>
      </m:oMath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π</m:t>
            </m:r>
          </m:e>
          <m:sub>
            <m:r>
              <w:rPr>
                <w:rFonts w:ascii="Cambria Math" w:hAnsi="Cambria Math"/>
              </w:rPr>
              <m:t xml:space="preserve">pqr</m:t>
            </m:r>
          </m:sub>
        </m:sSub>
        <m:r>
          <w:rPr>
            <w:rFonts w:ascii="Cambria Math" w:hAnsi="Cambria Math"/>
          </w:rPr>
          <m:t xml:space="preserve">∼</m:t>
        </m:r>
        <m:r>
          <w:rPr>
            <w:rFonts w:ascii="Cambria Math" w:hAnsi="Cambria Math"/>
          </w:rPr>
          <m:t xml:space="preserve">Beta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π</m:t>
                </m:r>
              </m:sup>
            </m:sSup>
            <m:r>
              <w:rPr>
                <w:rFonts w:ascii="Cambria Math" w:hAnsi="Cambria Math"/>
              </w:rPr>
              <m:t xml:space="preserve">,</m:t>
            </m:r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π</m:t>
                </m:r>
              </m:sup>
            </m:sSup>
          </m:e>
        </m:d>
      </m:oMath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pqr</m:t>
            </m:r>
          </m:sub>
        </m:sSub>
        <m:r>
          <w:rPr>
            <w:rFonts w:ascii="Cambria Math" w:hAnsi="Cambria Math"/>
          </w:rPr>
          <m:t xml:space="preserve">∼</m:t>
        </m:r>
        <m:r>
          <w:rPr>
            <w:rFonts w:ascii="Cambria Math" w:hAnsi="Cambria Math"/>
          </w:rPr>
          <m:t xml:space="preserve">Gamma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α</m:t>
                </m:r>
              </m:sup>
            </m:sSup>
            <m:r>
              <w:rPr>
                <w:rFonts w:ascii="Cambria Math" w:hAnsi="Cambria Math"/>
              </w:rPr>
              <m:t xml:space="preserve">,</m:t>
            </m:r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α</m:t>
                </m:r>
              </m:sup>
            </m:sSup>
          </m:e>
        </m:d>
      </m:oMath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τ</m:t>
        </m:r>
        <m:r>
          <w:rPr>
            <w:rFonts w:ascii="Cambria Math" w:hAnsi="Cambria Math"/>
          </w:rPr>
          <m:t xml:space="preserve">∼</m:t>
        </m:r>
        <m:r>
          <w:rPr>
            <w:rFonts w:ascii="Cambria Math" w:hAnsi="Cambria Math"/>
          </w:rPr>
          <m:t xml:space="preserve">Gamma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τ</m:t>
                </m:r>
              </m:sup>
            </m:sSup>
            <m:r>
              <w:rPr>
                <w:rFonts w:ascii="Cambria Math" w:hAnsi="Cambria Math"/>
              </w:rPr>
              <m:t xml:space="preserve">,</m:t>
            </m:r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τ</m:t>
                </m:r>
              </m:sup>
            </m:sSup>
          </m:e>
        </m:d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Tensor is assume to be subject to normal distribution as other factor analysis.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∈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</m:oMath>
      <w:r>
        <w:rPr/>
        <w:t>,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∈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sup>
        </m:sSup>
      </m:oMath>
      <w:r>
        <w:rPr/>
        <w:t xml:space="preserve">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∈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</m:sup>
        </m:sSup>
      </m:oMath>
      <w:r>
        <w:rPr/>
        <w:t xml:space="preserve"> represent three matrices for three mode respectively. Core tensor G weights the combination of Z, W and U. ARD prior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</m:oMath>
      <w:r>
        <w:rPr/>
        <w:t>control</w:t>
      </w:r>
      <w:r>
        <w:rPr/>
        <w:t xml:space="preserve"> the scale of each variable</w:t>
      </w:r>
      <w:r>
        <w:rPr/>
        <w:t xml:space="preserve"> and can automatically detect rotation and get a unique result.  Component-wise parameters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pqr</m:t>
            </m:r>
          </m:sub>
        </m:sSub>
      </m:oMath>
      <w:r>
        <w:rPr/>
        <w:t xml:space="preserve">will decide whether components in three models are active or not so that they can select the number of components.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8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文泉驿正黑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文泉驿正黑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文泉驿正黑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文泉驿正黑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文泉驿正黑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文泉驿正黑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170</TotalTime>
  <Application>LibreOffice/5.3.3.2$Linux_X86_64 LibreOffice_project/3d9a8b4b4e538a85e0782bd6c2d430bafe583448</Application>
  <Pages>1</Pages>
  <Words>73</Words>
  <Characters>371</Characters>
  <CharactersWithSpaces>446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2017-05-22T18:30:48Z</dcterms:created>
  <dc:creator/>
  <dc:description/>
  <dc:language>zh-CN</dc:language>
  <cp:lastModifiedBy/>
  <dcterms:modified xsi:type="dcterms:W3CDTF">2017-05-22T21:31:42Z</dcterms:modified>
  <cp:revision>23</cp:revision>
  <dc:subject/>
  <dc:title/>
</cp:coreProperties>
</file>