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X942ff3dfdd3244d9a6cf674beaf0a45704f2c00"/>
    <w:p>
      <w:pPr>
        <w:pStyle w:val="Heading1"/>
      </w:pPr>
      <w:r>
        <w:t xml:space="preserve">The Formalization Dilemma: Heterodox Participation, Engagement Asymmetry, and the Limits of Digital Intra-Party Democracy</w:t>
      </w:r>
    </w:p>
    <w:p>
      <w:pPr>
        <w:pStyle w:val="FirstParagraph"/>
      </w:pPr>
      <w:r>
        <w:rPr>
          <w:bCs/>
          <w:b/>
        </w:rPr>
        <w:t xml:space="preserve">Submitted to:</w:t>
      </w:r>
      <w:r>
        <w:t xml:space="preserve"> </w:t>
      </w:r>
      <w:r>
        <w:rPr>
          <w:iCs/>
          <w:i/>
        </w:rPr>
        <w:t xml:space="preserve">Information, Communication &amp; Society</w:t>
      </w:r>
    </w:p>
    <w:p>
      <w:r>
        <w:pict>
          <v:rect style="width:0;height:1.5pt" o:hralign="center" o:hrstd="t" o:hr="t"/>
        </w:pict>
      </w:r>
    </w:p>
    <w:p>
      <w:pPr>
        <w:pStyle w:val="FirstParagraph"/>
      </w:pPr>
      <w:r>
        <w:rPr>
          <w:bCs/>
          <w:b/>
        </w:rPr>
        <w:t xml:space="preserve">Abstract</w:t>
      </w:r>
    </w:p>
    <w:p>
      <w:pPr>
        <w:pStyle w:val="BodyText"/>
      </w:pPr>
      <w:r>
        <w:t xml:space="preserve">Digital participatory platforms have become central to movement parties’ attempts to institutionalize grassroots democracy. Yet the conditions under which such platforms succeed in bridging member participation and coherent political development remain poorly understood. Drawing on a decade-long corpus of 321 member proposals submitted to Alternativet (The Alternative), a Danish movement party, via the publicly accessible Discourse forum dialog.alternativet.dk, this paper presents a mixed-methods analysis combining netnographic description, qualitative frame analysis, co-participation network analysis, and longitudinal quantitative engagement metrics. We identify a structural tension we term the</w:t>
      </w:r>
      <w:r>
        <w:t xml:space="preserve"> </w:t>
      </w:r>
      <w:r>
        <w:rPr>
          <w:bCs/>
          <w:b/>
        </w:rPr>
        <w:t xml:space="preserve">formalization dilemma</w:t>
      </w:r>
      <w:r>
        <w:t xml:space="preserve">: rigorous pipeline requirements that make participation institutionally consequential simultaneously function as ideological filters, disfavouring heterodox proposals regardless of their member support. Frame analysis reveals four distinct legitimation strategies in the proposal corpus; heterodox proposals — those challenging mainstream scientific consensus — are rare (5% of corpus) yet attract engagement scores approximately three times higher than mainstream proposals, with likes distributed with extreme inequality (Gini = 0.833). Network analysis of co-participation reveals that 59% of users engaging with heterodox proposals never bridge to mainstream deliberation, constituting an epistemic enclave within the platform. These findings challenge the optimistic account of digital party democracy by showing that openness and coherence stand in fundamental, not merely contingent, tension — a dilemma that platform design alone cannot resolve.</w:t>
      </w:r>
    </w:p>
    <w:p>
      <w:pPr>
        <w:pStyle w:val="BodyText"/>
      </w:pPr>
      <w:r>
        <w:rPr>
          <w:bCs/>
          <w:b/>
        </w:rPr>
        <w:t xml:space="preserve">Keywords:</w:t>
      </w:r>
      <w:r>
        <w:t xml:space="preserve"> </w:t>
      </w:r>
      <w:r>
        <w:t xml:space="preserve">intra-party democracy; movement parties; digital participation; heterodoxy; framing; political deliberation; network analysis</w:t>
      </w:r>
    </w:p>
    <w:p>
      <w:r>
        <w:pict>
          <v:rect style="width:0;height:1.5pt" o:hralign="center" o:hrstd="t" o:hr="t"/>
        </w:pict>
      </w:r>
    </w:p>
    <w:bookmarkStart w:id="20" w:name="introduction"/>
    <w:p>
      <w:pPr>
        <w:pStyle w:val="Heading2"/>
      </w:pPr>
      <w:r>
        <w:t xml:space="preserve">1. Introduction</w:t>
      </w:r>
    </w:p>
    <w:p>
      <w:pPr>
        <w:pStyle w:val="FirstParagraph"/>
      </w:pPr>
      <w:r>
        <w:t xml:space="preserve">The emergence of the</w:t>
      </w:r>
      <w:r>
        <w:t xml:space="preserve"> </w:t>
      </w:r>
      <w:r>
        <w:t xml:space="preserve">“</w:t>
      </w:r>
      <w:r>
        <w:t xml:space="preserve">digital party</w:t>
      </w:r>
      <w:r>
        <w:t xml:space="preserve">”</w:t>
      </w:r>
      <w:r>
        <w:t xml:space="preserve"> </w:t>
      </w:r>
      <w:r>
        <w:t xml:space="preserve">(Gerbaudo, 2019) has generated substantial scholarly attention. Platforms like Rousseau (Movimento 5 Stelle), Plaza Podemos (Podemos), and LiquidFeedback (Pirate Parties) have promised to resolve a longstanding tension in party politics: how can organizations be simultaneously internally democratic and externally coherent? The answer offered by digital participation is seductive — give all members a voice, aggregate preferences algorithmically, and coherence will emerge from the collective wisdom of engaged citizens.</w:t>
      </w:r>
    </w:p>
    <w:p>
      <w:pPr>
        <w:pStyle w:val="BodyText"/>
      </w:pPr>
      <w:r>
        <w:t xml:space="preserve">Empirical research has, however, consistently complicated this picture. Digital platforms in parties tend to generate symbolic rather than substantive participation (Deseriis, 2020), concentrate activity among a narrow activist core (Gerbaudo, 2019), and struggle to sustain engagement beyond founding enthusiasm (Kefford, 2021). What has received less attention is the</w:t>
      </w:r>
      <w:r>
        <w:t xml:space="preserve"> </w:t>
      </w:r>
      <w:r>
        <w:rPr>
          <w:iCs/>
          <w:i/>
        </w:rPr>
        <w:t xml:space="preserve">qualitative</w:t>
      </w:r>
      <w:r>
        <w:t xml:space="preserve"> </w:t>
      </w:r>
      <w:r>
        <w:t xml:space="preserve">dimension of the problem: what happens when genuine grassroots participation produces content that challenges not just policy preferences but the epistemic foundations of the party’s political programme?</w:t>
      </w:r>
    </w:p>
    <w:p>
      <w:pPr>
        <w:pStyle w:val="BodyText"/>
      </w:pPr>
      <w:r>
        <w:t xml:space="preserve">This paper investigates this question through a decade-long analysis of Alternativet’s digital deliberation platform. Alternativet is a paradigmatic case: a Danish movement party that placed participatory democracy at the centre of its organizational identity, building a formal member proposal pipeline long before such mechanisms became common in European party politics. Its platform — accessible at dialog.alternativet.dk — has produced a rich public archive of member political initiative spanning 2016–2026, enabling unusually rigorous longitudinal analysis.</w:t>
      </w:r>
    </w:p>
    <w:p>
      <w:pPr>
        <w:pStyle w:val="BodyText"/>
      </w:pPr>
      <w:r>
        <w:t xml:space="preserve">Our contribution is threefold. First, we introduce the concept of the</w:t>
      </w:r>
      <w:r>
        <w:t xml:space="preserve"> </w:t>
      </w:r>
      <w:r>
        <w:rPr>
          <w:bCs/>
          <w:b/>
        </w:rPr>
        <w:t xml:space="preserve">formalization dilemma</w:t>
      </w:r>
      <w:r>
        <w:t xml:space="preserve"> </w:t>
      </w:r>
      <w:r>
        <w:t xml:space="preserve">to describe the structural tension between institutional rigour and genuine openness in movement-party platforms. Second, we provide the first systematic, longitudinal empirical analysis of Alternativet’s digital democracy, combining qualitative frame analysis with network analysis and quantitative engagement metrics. Third, we demonstrate through network analysis that heterodox participation constitutes a structurally distinct epistemic enclave within the platform — a finding with implications for theories of digital deliberation and political party cohesion.</w:t>
      </w:r>
    </w:p>
    <w:p>
      <w:r>
        <w:pict>
          <v:rect style="width:0;height:1.5pt" o:hralign="center" o:hrstd="t" o:hr="t"/>
        </w:pict>
      </w:r>
    </w:p>
    <w:bookmarkEnd w:id="20"/>
    <w:bookmarkStart w:id="26" w:name="literature-review"/>
    <w:p>
      <w:pPr>
        <w:pStyle w:val="Heading2"/>
      </w:pPr>
      <w:r>
        <w:t xml:space="preserve">2. Literature Review</w:t>
      </w:r>
    </w:p>
    <w:bookmarkStart w:id="21" w:name="X3e546521412811dc684fc81075c888dbf0eb990"/>
    <w:p>
      <w:pPr>
        <w:pStyle w:val="Heading3"/>
      </w:pPr>
      <w:r>
        <w:t xml:space="preserve">2.1 Movement Parties and the Participation Imperative</w:t>
      </w:r>
    </w:p>
    <w:p>
      <w:pPr>
        <w:pStyle w:val="FirstParagraph"/>
      </w:pPr>
      <w:r>
        <w:t xml:space="preserve">Kitschelt’s (2006) concept of the movement party identifies organizations that combine social movement logic — horizontal, value-driven, participatory — with the electoral imperatives of conventional party politics. This combination generates endemic tensions. Michels (1911/1962) famously argued that democratic organizations inevitably develop oligarchic leadership, regardless of design intent. More recently, Bolleyer (2013) has shown that new parties with high initial member participation often experience rapid professionalization as electoral pressures mount, displacing the founding participatory culture.</w:t>
      </w:r>
    </w:p>
    <w:p>
      <w:pPr>
        <w:pStyle w:val="BodyText"/>
      </w:pPr>
      <w:r>
        <w:t xml:space="preserve">Alternativet represents a deliberate attempt to institutionalize participatory culture rather than allow it to erode. Founded in 2013 on six values (courage, generosity, transparency, humility, humor, and empathy) rather than a fixed ideology, the party explicitly designed its political development process around</w:t>
      </w:r>
      <w:r>
        <w:t xml:space="preserve"> </w:t>
      </w:r>
      <w:r>
        <w:t xml:space="preserve">“</w:t>
      </w:r>
      <w:r>
        <w:t xml:space="preserve">political laboratories</w:t>
      </w:r>
      <w:r>
        <w:t xml:space="preserve">”</w:t>
      </w:r>
      <w:r>
        <w:t xml:space="preserve"> </w:t>
      </w:r>
      <w:r>
        <w:t xml:space="preserve">— open public workshops where policy proposals are co-created with members and citizens (Dencik &amp; Allan, 2017). The AlleOs digital platform extended this logic online, creating a formal pipeline from member initiative to official party program.</w:t>
      </w:r>
    </w:p>
    <w:bookmarkEnd w:id="21"/>
    <w:bookmarkStart w:id="22" w:name="Xddfa2b4b6901914229cd3eafc6df05ec45bb7b4"/>
    <w:p>
      <w:pPr>
        <w:pStyle w:val="Heading3"/>
      </w:pPr>
      <w:r>
        <w:t xml:space="preserve">2.2 Digital Party Democracy: Promise and Paradox</w:t>
      </w:r>
    </w:p>
    <w:p>
      <w:pPr>
        <w:pStyle w:val="FirstParagraph"/>
      </w:pPr>
      <w:r>
        <w:t xml:space="preserve">The</w:t>
      </w:r>
      <w:r>
        <w:t xml:space="preserve"> </w:t>
      </w:r>
      <w:r>
        <w:t xml:space="preserve">“</w:t>
      </w:r>
      <w:r>
        <w:t xml:space="preserve">digital party</w:t>
      </w:r>
      <w:r>
        <w:t xml:space="preserve">”</w:t>
      </w:r>
      <w:r>
        <w:t xml:space="preserve"> </w:t>
      </w:r>
      <w:r>
        <w:t xml:space="preserve">literature identifies a fundamental ambiguity in party platform design. Gerbaudo (2019) distinguishes two ideal types: the</w:t>
      </w:r>
      <w:r>
        <w:t xml:space="preserve"> </w:t>
      </w:r>
      <w:r>
        <w:t xml:space="preserve">“</w:t>
      </w:r>
      <w:r>
        <w:t xml:space="preserve">platform party</w:t>
      </w:r>
      <w:r>
        <w:t xml:space="preserve">”</w:t>
      </w:r>
      <w:r>
        <w:t xml:space="preserve"> </w:t>
      </w:r>
      <w:r>
        <w:t xml:space="preserve">(centralized, with digital tools enhancing leadership communication) and the</w:t>
      </w:r>
      <w:r>
        <w:t xml:space="preserve"> </w:t>
      </w:r>
      <w:r>
        <w:t xml:space="preserve">“</w:t>
      </w:r>
      <w:r>
        <w:t xml:space="preserve">networked party</w:t>
      </w:r>
      <w:r>
        <w:t xml:space="preserve">”</w:t>
      </w:r>
      <w:r>
        <w:t xml:space="preserve"> </w:t>
      </w:r>
      <w:r>
        <w:t xml:space="preserve">(decentralized, with digital tools enabling genuine bottom-up policy development). Movement parties typically aspire to the second but often slide toward the first under electoral pressure. Deseriis (2020) argues that digital platforms in parties tend toward what he calls</w:t>
      </w:r>
      <w:r>
        <w:t xml:space="preserve"> </w:t>
      </w:r>
      <w:r>
        <w:t xml:space="preserve">“</w:t>
      </w:r>
      <w:r>
        <w:t xml:space="preserve">technopopulism</w:t>
      </w:r>
      <w:r>
        <w:t xml:space="preserve">”</w:t>
      </w:r>
      <w:r>
        <w:t xml:space="preserve"> </w:t>
      </w:r>
      <w:r>
        <w:t xml:space="preserve">— the use of participatory architecture to generate legitimacy for decisions already made by leadership.</w:t>
      </w:r>
    </w:p>
    <w:p>
      <w:pPr>
        <w:pStyle w:val="BodyText"/>
      </w:pPr>
      <w:r>
        <w:t xml:space="preserve">Recent empirical work has complicated this dichotomy. Kefford (2021) finds that digital parties in Australia show high initial enthusiasm followed by systematic disengagement, consistent with Norris’s (2002)</w:t>
      </w:r>
      <w:r>
        <w:t xml:space="preserve"> </w:t>
      </w:r>
      <w:r>
        <w:t xml:space="preserve">“</w:t>
      </w:r>
      <w:r>
        <w:t xml:space="preserve">participation paradox.</w:t>
      </w:r>
      <w:r>
        <w:t xml:space="preserve">”</w:t>
      </w:r>
      <w:r>
        <w:t xml:space="preserve"> </w:t>
      </w:r>
      <w:r>
        <w:t xml:space="preserve">Gerbaudo and Screti (2017) document how Podemos’s Plaza Podemos, while formally enabling member proposals, in practice amplified existing leadership positions through algorithmic curation. The structural mechanisms through which ostensibly open platforms reproduce elite dominance — what we call formalization — have not yet been theorized systematically.</w:t>
      </w:r>
    </w:p>
    <w:bookmarkEnd w:id="22"/>
    <w:bookmarkStart w:id="23" w:name="X2c0a293007940940baafc467662dc9d721a399e"/>
    <w:p>
      <w:pPr>
        <w:pStyle w:val="Heading3"/>
      </w:pPr>
      <w:r>
        <w:t xml:space="preserve">2.3 Heterodox Participation and Epistemic Diversity</w:t>
      </w:r>
    </w:p>
    <w:p>
      <w:pPr>
        <w:pStyle w:val="FirstParagraph"/>
      </w:pPr>
      <w:r>
        <w:t xml:space="preserve">A dimension underexplored in the digital party literature is the role of</w:t>
      </w:r>
      <w:r>
        <w:t xml:space="preserve"> </w:t>
      </w:r>
      <w:r>
        <w:rPr>
          <w:iCs/>
          <w:i/>
        </w:rPr>
        <w:t xml:space="preserve">heterodox</w:t>
      </w:r>
      <w:r>
        <w:t xml:space="preserve"> </w:t>
      </w:r>
      <w:r>
        <w:t xml:space="preserve">content — member proposals that challenge not policy preferences but epistemological foundations. Political parties, particularly movement parties with anti-establishment identities, attract members who hold diverse, sometimes contradictory, epistemic commitments. The party’s values (in Alternativet’s case: transparency, courage, humility) do not presuppose agreement about scientific methodology.</w:t>
      </w:r>
    </w:p>
    <w:p>
      <w:pPr>
        <w:pStyle w:val="BodyText"/>
      </w:pPr>
      <w:r>
        <w:t xml:space="preserve">Work on online political communities (Sunstein, 2017; Bail et al., 2018) suggests that heterodox content — content that challenges mainstream consensus — disproportionately attracts engagement through affective response, both supportive and adversarial. In the specific context of party platforms, this creates a structural problem: the proposals most likely to generate democratic energy (high likes, active debate) may be those least amenable to integration into coherent, scientifically grounded party policy.</w:t>
      </w:r>
    </w:p>
    <w:bookmarkEnd w:id="23"/>
    <w:bookmarkStart w:id="24" w:name="Xc38d8373820a7b511672b2a866d70cc977b1d8e"/>
    <w:p>
      <w:pPr>
        <w:pStyle w:val="Heading3"/>
      </w:pPr>
      <w:r>
        <w:t xml:space="preserve">2.4 Frame Analysis and Political Legitimation</w:t>
      </w:r>
    </w:p>
    <w:p>
      <w:pPr>
        <w:pStyle w:val="FirstParagraph"/>
      </w:pPr>
      <w:r>
        <w:t xml:space="preserve">Snow and Benford’s (1988) framing theory provides the analytical vocabulary for examining how members legitimate political proposals. Diagnostic frames identify problems and attribute blame; prognostic frames propose solutions; motivational frames recruit collective action. In the context of a formal proposal pipeline, these three dimensions are compressed into a single document, making proposal texts unusually rich sites for frame analysis.</w:t>
      </w:r>
    </w:p>
    <w:p>
      <w:pPr>
        <w:pStyle w:val="BodyText"/>
      </w:pPr>
      <w:r>
        <w:t xml:space="preserve">The template prescribing proposal format — requiring measurable actions, political laboratories, expert consultation, and acknowledgement of disadvantages — is itself a meta-frame: it structures legitimate political speech, privileging technocratic-deliberative over populist-affective registers. We examine empirically the extent to which members comply with or resist this prescriptive meta-frame, and with what consequences for engagement and pipeline advancement.</w:t>
      </w:r>
    </w:p>
    <w:bookmarkEnd w:id="24"/>
    <w:bookmarkStart w:id="25" w:name="Xf56447ee1fafc52d50cbd8bf67e19ee174a41b1"/>
    <w:p>
      <w:pPr>
        <w:pStyle w:val="Heading3"/>
      </w:pPr>
      <w:r>
        <w:t xml:space="preserve">2.5 Network Analysis and Political Participation</w:t>
      </w:r>
    </w:p>
    <w:p>
      <w:pPr>
        <w:pStyle w:val="FirstParagraph"/>
      </w:pPr>
      <w:r>
        <w:t xml:space="preserve">Co-participation network analysis — constructing networks of users who engage in the same political spaces — has been productively applied to legislative co-sponsorship (Fowler, 2006), Twitter political discussions (Conover et al., 2011), and parliamentary debates (Cherepnalkoski &amp; Mozetič, 2016). Applied to party platforms, co-participation networks reveal the social structure of political deliberation: which users cluster together, whether deliberative communities span ideological divides, and whether participation is concentrated among a small core or distributed across many.</w:t>
      </w:r>
    </w:p>
    <w:p>
      <w:pPr>
        <w:pStyle w:val="BodyText"/>
      </w:pPr>
      <w:r>
        <w:t xml:space="preserve">We apply this approach to Alternativet’s platform to address a specific question: are users who engage with heterodox proposals socially embedded within the broader deliberative community, or do they constitute a structurally separate epistemic enclave?</w:t>
      </w:r>
    </w:p>
    <w:p>
      <w:r>
        <w:pict>
          <v:rect style="width:0;height:1.5pt" o:hralign="center" o:hrstd="t" o:hr="t"/>
        </w:pict>
      </w:r>
    </w:p>
    <w:bookmarkEnd w:id="25"/>
    <w:bookmarkEnd w:id="26"/>
    <w:bookmarkStart w:id="30" w:name="data-and-methods"/>
    <w:p>
      <w:pPr>
        <w:pStyle w:val="Heading2"/>
      </w:pPr>
      <w:r>
        <w:t xml:space="preserve">3. Data and Methods</w:t>
      </w:r>
    </w:p>
    <w:bookmarkStart w:id="27" w:name="datasite"/>
    <w:p>
      <w:pPr>
        <w:pStyle w:val="Heading3"/>
      </w:pPr>
      <w:r>
        <w:t xml:space="preserve">3.1 Datasite</w:t>
      </w:r>
    </w:p>
    <w:p>
      <w:pPr>
        <w:pStyle w:val="FirstParagraph"/>
      </w:pPr>
      <w:r>
        <w:t xml:space="preserve">The Discourse forum at dialog.alternativet.dk constitutes the public deliberative layer of Alternativet’s AlleOs digital democracy platform. Unlike the AlleOs platform proper (member-authenticated), the Discourse forum is publicly accessible, consistent with the party’s stated commitment to transparency. Its Discourse REST API provides structured access to all topics, posts, user metadata, and category information without authentication, making systematic collection straightforward.</w:t>
      </w:r>
    </w:p>
    <w:p>
      <w:pPr>
        <w:pStyle w:val="BodyText"/>
      </w:pPr>
      <w:r>
        <w:t xml:space="preserve">The forum is organized into 245 categories, including policy discussion areas (19 subcategories covering all major policy domains), proposal development stages, regional party chapters (</w:t>
      </w:r>
      <w:r>
        <w:rPr>
          <w:iCs/>
          <w:i/>
        </w:rPr>
        <w:t xml:space="preserve">storkredse</w:t>
      </w:r>
      <w:r>
        <w:t xml:space="preserve">: 8 regions;</w:t>
      </w:r>
      <w:r>
        <w:t xml:space="preserve"> </w:t>
      </w:r>
      <w:r>
        <w:rPr>
          <w:iCs/>
          <w:i/>
        </w:rPr>
        <w:t xml:space="preserve">lokalforeninger</w:t>
      </w:r>
      <w:r>
        <w:t xml:space="preserve">: 51+ local chapters), and national party meeting archives. As of March 2026, the platform hosts 9,710 topics, 32,810 posts, and 2,173 registered users. The description (</w:t>
      </w:r>
      <w:r>
        <w:t xml:space="preserve">“</w:t>
      </w:r>
      <w:r>
        <w:t xml:space="preserve">Dialog — samtale om samfundet og politisk udvikling i Alternativet</w:t>
      </w:r>
      <w:r>
        <w:t xml:space="preserve">”</w:t>
      </w:r>
      <w:r>
        <w:t xml:space="preserve">) positions it explicitly as a space for political development, not merely communication.</w:t>
      </w:r>
    </w:p>
    <w:p>
      <w:pPr>
        <w:pStyle w:val="BodyText"/>
      </w:pPr>
      <w:r>
        <w:t xml:space="preserve">The proposal development pipeline operates through four staged categories:</w:t>
      </w:r>
      <w:r>
        <w:t xml:space="preserve"> </w:t>
      </w:r>
      <w:r>
        <w:t xml:space="preserve">1.</w:t>
      </w:r>
      <w:r>
        <w:t xml:space="preserve"> </w:t>
      </w:r>
      <w:r>
        <w:rPr>
          <w:iCs/>
          <w:i/>
        </w:rPr>
        <w:t xml:space="preserve">Forslag under udvikling</w:t>
      </w:r>
      <w:r>
        <w:t xml:space="preserve"> </w:t>
      </w:r>
      <w:r>
        <w:t xml:space="preserve">— drafts in progress</w:t>
      </w:r>
      <w:r>
        <w:t xml:space="preserve"> </w:t>
      </w:r>
      <w:r>
        <w:t xml:space="preserve">2.</w:t>
      </w:r>
      <w:r>
        <w:t xml:space="preserve"> </w:t>
      </w:r>
      <w:r>
        <w:rPr>
          <w:iCs/>
          <w:i/>
        </w:rPr>
        <w:t xml:space="preserve">Søger medstillere</w:t>
      </w:r>
      <w:r>
        <w:t xml:space="preserve"> </w:t>
      </w:r>
      <w:r>
        <w:t xml:space="preserve">— seeking 10 co-signatories to advance</w:t>
      </w:r>
      <w:r>
        <w:t xml:space="preserve"> </w:t>
      </w:r>
      <w:r>
        <w:t xml:space="preserve">3.</w:t>
      </w:r>
      <w:r>
        <w:t xml:space="preserve"> </w:t>
      </w:r>
      <w:r>
        <w:rPr>
          <w:iCs/>
          <w:i/>
        </w:rPr>
        <w:t xml:space="preserve">Forslag der søger opbakning</w:t>
      </w:r>
      <w:r>
        <w:t xml:space="preserve"> </w:t>
      </w:r>
      <w:r>
        <w:t xml:space="preserve">— seeking 50 endorsements for catalog entry</w:t>
      </w:r>
      <w:r>
        <w:t xml:space="preserve"> </w:t>
      </w:r>
      <w:r>
        <w:t xml:space="preserve">4.</w:t>
      </w:r>
      <w:r>
        <w:t xml:space="preserve"> </w:t>
      </w:r>
      <w:r>
        <w:rPr>
          <w:iCs/>
          <w:i/>
        </w:rPr>
        <w:t xml:space="preserve">Politisk Katalog (vær med til at vurdere det)</w:t>
      </w:r>
      <w:r>
        <w:t xml:space="preserve"> </w:t>
      </w:r>
      <w:r>
        <w:t xml:space="preserve">— accepted proposals under member evaluation</w:t>
      </w:r>
    </w:p>
    <w:bookmarkEnd w:id="27"/>
    <w:bookmarkStart w:id="28" w:name="data-collection"/>
    <w:p>
      <w:pPr>
        <w:pStyle w:val="Heading3"/>
      </w:pPr>
      <w:r>
        <w:t xml:space="preserve">3.2 Data Collection</w:t>
      </w:r>
    </w:p>
    <w:p>
      <w:pPr>
        <w:pStyle w:val="FirstParagraph"/>
      </w:pPr>
      <w:r>
        <w:t xml:space="preserve">Data was collected via the Discourse API in March 2026. The collection proceeded in three stages:</w:t>
      </w:r>
    </w:p>
    <w:p>
      <w:pPr>
        <w:pStyle w:val="BodyText"/>
      </w:pPr>
      <w:r>
        <w:rPr>
          <w:bCs/>
          <w:b/>
        </w:rPr>
        <w:t xml:space="preserve">Stage 1 — Corpus construction</w:t>
      </w:r>
      <w:r>
        <w:t xml:space="preserve">: All topics across all four proposal pipeline categories were collected via paginated API calls (</w:t>
      </w:r>
      <w:r>
        <w:rPr>
          <w:rStyle w:val="VerbatimChar"/>
        </w:rPr>
        <w:t xml:space="preserve">/c/{slug}/{id}.json?page={n}</w:t>
      </w:r>
      <w:r>
        <w:t xml:space="preserve">), yielding</w:t>
      </w:r>
      <w:r>
        <w:t xml:space="preserve"> </w:t>
      </w:r>
      <w:r>
        <w:rPr>
          <w:bCs/>
          <w:b/>
        </w:rPr>
        <w:t xml:space="preserve">380 proposal topic metadata records</w:t>
      </w:r>
      <w:r>
        <w:t xml:space="preserve"> </w:t>
      </w:r>
      <w:r>
        <w:t xml:space="preserve">spanning September 2016 to March 2026. Additionally, all policy-area discussion topics (19 subcategories) were collected (638 topics), providing a comparison corpus.</w:t>
      </w:r>
    </w:p>
    <w:p>
      <w:pPr>
        <w:pStyle w:val="BodyText"/>
      </w:pPr>
      <w:r>
        <w:rPr>
          <w:bCs/>
          <w:b/>
        </w:rPr>
        <w:t xml:space="preserve">Stage 2 — Full text collection</w:t>
      </w:r>
      <w:r>
        <w:t xml:space="preserve">: For 321 proposals (84% of the corpus), full post content was collected via</w:t>
      </w:r>
      <w:r>
        <w:t xml:space="preserve"> </w:t>
      </w:r>
      <w:r>
        <w:rPr>
          <w:rStyle w:val="VerbatimChar"/>
        </w:rPr>
        <w:t xml:space="preserve">/t/{topic-id}.json</w:t>
      </w:r>
      <w:r>
        <w:t xml:space="preserve">, including all replies, usernames, timestamps, and like counts per post. Data collection was conducted respectfully (0.3–0.5s between requests; descriptive User-Agent header identifying the academic purpose).</w:t>
      </w:r>
    </w:p>
    <w:p>
      <w:pPr>
        <w:pStyle w:val="BodyText"/>
      </w:pPr>
      <w:r>
        <w:rPr>
          <w:bCs/>
          <w:b/>
        </w:rPr>
        <w:t xml:space="preserve">Stage 3 — Site statistics</w:t>
      </w:r>
      <w:r>
        <w:t xml:space="preserve">: Platform-level statistics were obtained from</w:t>
      </w:r>
      <w:r>
        <w:t xml:space="preserve"> </w:t>
      </w:r>
      <w:r>
        <w:rPr>
          <w:rStyle w:val="VerbatimChar"/>
        </w:rPr>
        <w:t xml:space="preserve">/about.json</w:t>
      </w:r>
      <w:r>
        <w:t xml:space="preserve">.</w:t>
      </w:r>
    </w:p>
    <w:bookmarkEnd w:id="28"/>
    <w:bookmarkStart w:id="29" w:name="analytical-strategy"/>
    <w:p>
      <w:pPr>
        <w:pStyle w:val="Heading3"/>
      </w:pPr>
      <w:r>
        <w:t xml:space="preserve">3.3 Analytical Strategy</w:t>
      </w:r>
    </w:p>
    <w:p>
      <w:pPr>
        <w:pStyle w:val="FirstParagraph"/>
      </w:pPr>
      <w:r>
        <w:t xml:space="preserve">The study employs an integrated qualitative-quantitative design (Blok, Bang Carlsen &amp; Albris, 2022; Small, 2011) across four analytical components:</w:t>
      </w:r>
    </w:p>
    <w:p>
      <w:pPr>
        <w:pStyle w:val="BodyText"/>
      </w:pPr>
      <w:r>
        <w:rPr>
          <w:bCs/>
          <w:b/>
        </w:rPr>
        <w:t xml:space="preserve">Netnographic immersion</w:t>
      </w:r>
      <w:r>
        <w:t xml:space="preserve"> </w:t>
      </w:r>
      <w:r>
        <w:t xml:space="preserve">(Kozinets, 2020): Six extended observation sessions (90 minutes each) across the forum, producing an immersion journal documenting platform culture, norms, and sociotechnical context. This phase informed the purposive sampling strategy and the development of analytical categories.</w:t>
      </w:r>
    </w:p>
    <w:p>
      <w:pPr>
        <w:pStyle w:val="BodyText"/>
      </w:pPr>
      <w:r>
        <w:rPr>
          <w:bCs/>
          <w:b/>
        </w:rPr>
        <w:t xml:space="preserve">Qualitative content analysis</w:t>
      </w:r>
      <w:r>
        <w:t xml:space="preserve">: A maximum-variation purposive sample of 25 proposals (Patton, 2002) was subjected to abductive open coding (Timmermans &amp; Tavory, 2022), followed by focused coding leading to a four-type frame typology. A 20% subsample was independently coded by a second researcher; Cohen’s κ = 0.78.</w:t>
      </w:r>
    </w:p>
    <w:p>
      <w:pPr>
        <w:pStyle w:val="BodyText"/>
      </w:pPr>
      <w:r>
        <w:rPr>
          <w:bCs/>
          <w:b/>
        </w:rPr>
        <w:t xml:space="preserve">Quantitative content analysis</w:t>
      </w:r>
      <w:r>
        <w:t xml:space="preserve">: A keyword dictionary operationalizing the nine thematic categories identifiable from the Discourse structure was applied to the full text of all 321 proposals. LLM-assisted classification (Claude Sonnet 4.6, instructed via the codebook per Törnberg, 2024) assigned frame types to all proposals; macro-F1 = 0.74 against a manually labeled 20-proposal test set.</w:t>
      </w:r>
    </w:p>
    <w:p>
      <w:pPr>
        <w:pStyle w:val="BodyText"/>
      </w:pPr>
      <w:r>
        <w:rPr>
          <w:bCs/>
          <w:b/>
        </w:rPr>
        <w:t xml:space="preserve">Co-participation network analysis</w:t>
      </w:r>
      <w:r>
        <w:t xml:space="preserve">: A network was constructed with users as nodes and co-participation in the same proposal thread as edges (weighted by number of shared proposals). Analysis focused on the structural position of users engaging with heterodox proposals relative to the broader deliberative community. Network statistics were computed using Python (NetworkX).</w:t>
      </w:r>
    </w:p>
    <w:p>
      <w:r>
        <w:pict>
          <v:rect style="width:0;height:1.5pt" o:hralign="center" o:hrstd="t" o:hr="t"/>
        </w:pict>
      </w:r>
    </w:p>
    <w:bookmarkEnd w:id="29"/>
    <w:bookmarkEnd w:id="30"/>
    <w:bookmarkStart w:id="36" w:name="results"/>
    <w:p>
      <w:pPr>
        <w:pStyle w:val="Heading2"/>
      </w:pPr>
      <w:r>
        <w:t xml:space="preserve">4. Results</w:t>
      </w:r>
    </w:p>
    <w:bookmarkStart w:id="31" w:name="X0889b6ad81ad4352f7e689bb9f9486f8fcf4b32"/>
    <w:p>
      <w:pPr>
        <w:pStyle w:val="Heading3"/>
      </w:pPr>
      <w:r>
        <w:t xml:space="preserve">4.1 Temporal Dynamics: The Rise and Fall of Participatory Enthusiasm</w:t>
      </w:r>
    </w:p>
    <w:p>
      <w:pPr>
        <w:pStyle w:val="FirstParagraph"/>
      </w:pPr>
      <w:r>
        <w:t xml:space="preserve">Figure 1 presents annual proposal submission counts across the full corpus of 380 proposals.</w:t>
      </w:r>
    </w:p>
    <w:p>
      <w:pPr>
        <w:pStyle w:val="SourceCode"/>
      </w:pPr>
      <w:r>
        <w:rPr>
          <w:rStyle w:val="VerbatimChar"/>
        </w:rPr>
        <w:t xml:space="preserve">ANNUAL PROPOSAL SUBMISSIONS (N=380)</w:t>
      </w:r>
      <w:r>
        <w:br/>
      </w:r>
      <w:r>
        <w:rPr>
          <w:rStyle w:val="VerbatimChar"/>
        </w:rPr>
        <w:t xml:space="preserve">────────────────────────────────────────────────</w:t>
      </w:r>
      <w:r>
        <w:br/>
      </w:r>
      <w:r>
        <w:rPr>
          <w:rStyle w:val="VerbatimChar"/>
        </w:rPr>
        <w:t xml:space="preserve">2016:  81  ████████████████</w:t>
      </w:r>
      <w:r>
        <w:br/>
      </w:r>
      <w:r>
        <w:rPr>
          <w:rStyle w:val="VerbatimChar"/>
        </w:rPr>
        <w:t xml:space="preserve">2017: 179  ███████████████████████████████████</w:t>
      </w:r>
      <w:r>
        <w:br/>
      </w:r>
      <w:r>
        <w:rPr>
          <w:rStyle w:val="VerbatimChar"/>
        </w:rPr>
        <w:t xml:space="preserve">2018:  18  ████</w:t>
      </w:r>
      <w:r>
        <w:br/>
      </w:r>
      <w:r>
        <w:rPr>
          <w:rStyle w:val="VerbatimChar"/>
        </w:rPr>
        <w:t xml:space="preserve">2019:  29  ██████</w:t>
      </w:r>
      <w:r>
        <w:br/>
      </w:r>
      <w:r>
        <w:rPr>
          <w:rStyle w:val="VerbatimChar"/>
        </w:rPr>
        <w:t xml:space="preserve">2020:   8  ██</w:t>
      </w:r>
      <w:r>
        <w:br/>
      </w:r>
      <w:r>
        <w:rPr>
          <w:rStyle w:val="VerbatimChar"/>
        </w:rPr>
        <w:t xml:space="preserve">2021:  18  ████</w:t>
      </w:r>
      <w:r>
        <w:br/>
      </w:r>
      <w:r>
        <w:rPr>
          <w:rStyle w:val="VerbatimChar"/>
        </w:rPr>
        <w:t xml:space="preserve">2022:  16  ████</w:t>
      </w:r>
      <w:r>
        <w:br/>
      </w:r>
      <w:r>
        <w:rPr>
          <w:rStyle w:val="VerbatimChar"/>
        </w:rPr>
        <w:t xml:space="preserve">2023:   6  █</w:t>
      </w:r>
      <w:r>
        <w:br/>
      </w:r>
      <w:r>
        <w:rPr>
          <w:rStyle w:val="VerbatimChar"/>
        </w:rPr>
        <w:t xml:space="preserve">2024:  14  ███</w:t>
      </w:r>
      <w:r>
        <w:br/>
      </w:r>
      <w:r>
        <w:rPr>
          <w:rStyle w:val="VerbatimChar"/>
        </w:rPr>
        <w:t xml:space="preserve">2025:   5  █</w:t>
      </w:r>
      <w:r>
        <w:br/>
      </w:r>
      <w:r>
        <w:rPr>
          <w:rStyle w:val="VerbatimChar"/>
        </w:rPr>
        <w:t xml:space="preserve">2026:   6  ██  (through March)</w:t>
      </w:r>
      <w:r>
        <w:br/>
      </w:r>
      <w:r>
        <w:rPr>
          <w:rStyle w:val="VerbatimChar"/>
        </w:rPr>
        <w:t xml:space="preserve">────────────────────────────────────────────────</w:t>
      </w:r>
    </w:p>
    <w:p>
      <w:pPr>
        <w:pStyle w:val="FirstParagraph"/>
      </w:pPr>
      <w:r>
        <w:rPr>
          <w:iCs/>
          <w:i/>
        </w:rPr>
        <w:t xml:space="preserve">Figure 1. Annual proposal submissions on dialog.alternativet.dk, September 2016 – March 2026.</w:t>
      </w:r>
    </w:p>
    <w:p>
      <w:pPr>
        <w:pStyle w:val="BodyText"/>
      </w:pPr>
      <w:r>
        <w:t xml:space="preserve">The founding phase (2016–2017) accounts for 69% of all submissions (260/380), with a peak of 179 proposals in 2017 alone — Alternativet’s second year in parliament and the year of its first internal national meeting using the digital platform. The subsequent collapse is abrupt: from 179 to 18 between 2017 and 2018, a decline of 90% in a single year. This is not attributable to electoral performance (the party held its vote share into 2019) or organizational disruption (no major split occurred until 2020).</w:t>
      </w:r>
    </w:p>
    <w:p>
      <w:pPr>
        <w:pStyle w:val="BodyText"/>
      </w:pPr>
      <w:r>
        <w:t xml:space="preserve">Netnographic reading of archived discussions from 2018–2019 reveals a recurring theme of</w:t>
      </w:r>
      <w:r>
        <w:t xml:space="preserve"> </w:t>
      </w:r>
      <w:r>
        <w:rPr>
          <w:bCs/>
          <w:b/>
        </w:rPr>
        <w:t xml:space="preserve">pipeline opacity</w:t>
      </w:r>
      <w:r>
        <w:t xml:space="preserve">: members express frustration that submitted proposals receive no formal response — neither acceptance, rejection, nor redirection. Several threads document proposals stagnating in the</w:t>
      </w:r>
      <w:r>
        <w:t xml:space="preserve"> </w:t>
      </w:r>
      <w:r>
        <w:t xml:space="preserve">“</w:t>
      </w:r>
      <w:r>
        <w:t xml:space="preserve">seeking co-proposers</w:t>
      </w:r>
      <w:r>
        <w:t xml:space="preserve">”</w:t>
      </w:r>
      <w:r>
        <w:t xml:space="preserve"> </w:t>
      </w:r>
      <w:r>
        <w:t xml:space="preserve">stage for years without advancing or being formally closed. The platform template requires</w:t>
      </w:r>
      <w:r>
        <w:t xml:space="preserve"> </w:t>
      </w:r>
      <w:r>
        <w:t xml:space="preserve">“</w:t>
      </w:r>
      <w:r>
        <w:t xml:space="preserve">political laboratories</w:t>
      </w:r>
      <w:r>
        <w:t xml:space="preserve">”</w:t>
      </w:r>
      <w:r>
        <w:t xml:space="preserve"> </w:t>
      </w:r>
      <w:r>
        <w:t xml:space="preserve">as a precondition for submission; netnographic reading suggests this requirement was inconsistently enforced, creating ambiguity about which proposals were genuinely in process versus effectively abandoned.</w:t>
      </w:r>
    </w:p>
    <w:p>
      <w:pPr>
        <w:pStyle w:val="BodyText"/>
      </w:pPr>
      <w:r>
        <w:t xml:space="preserve">The minor revival in 2024 (14 proposals) corresponds to preparations for the</w:t>
      </w:r>
      <w:r>
        <w:t xml:space="preserve"> </w:t>
      </w:r>
      <w:r>
        <w:rPr>
          <w:iCs/>
          <w:i/>
        </w:rPr>
        <w:t xml:space="preserve">landsmøde</w:t>
      </w:r>
      <w:r>
        <w:t xml:space="preserve"> </w:t>
      </w:r>
      <w:r>
        <w:t xml:space="preserve">(national party meeting), which has its own dedicated category and functions as a periodic activation point for otherwise dormant participatory infrastructure. This pattern — episodic activation rather than continuous participation — is consistent with Kefford’s (2021) findings on digital party participation in Australia and confirms the structural dependency of digital party democracy on external political events for sustained activation.</w:t>
      </w:r>
    </w:p>
    <w:bookmarkEnd w:id="31"/>
    <w:bookmarkStart w:id="32" w:name="Xbf634dead8b9a2ea6125bf15fd0b9db90f85cc8"/>
    <w:p>
      <w:pPr>
        <w:pStyle w:val="Heading3"/>
      </w:pPr>
      <w:r>
        <w:t xml:space="preserve">4.2 Thematic Distribution and the Silences of Grassroots Policy</w:t>
      </w:r>
    </w:p>
    <w:p>
      <w:pPr>
        <w:pStyle w:val="FirstParagraph"/>
      </w:pPr>
      <w:r>
        <w:t xml:space="preserve">Thematic classification of the 321-proposal corpus reveals clear concentrations (Figure 2).</w:t>
      </w:r>
    </w:p>
    <w:p>
      <w:pPr>
        <w:pStyle w:val="SourceCode"/>
      </w:pPr>
      <w:r>
        <w:rPr>
          <w:rStyle w:val="VerbatimChar"/>
        </w:rPr>
        <w:t xml:space="preserve">THEMATIC DISTRIBUTION OF PROPOSALS (N=321, dictionary-based)</w:t>
      </w:r>
      <w:r>
        <w:br/>
      </w:r>
      <w:r>
        <w:rPr>
          <w:rStyle w:val="VerbatimChar"/>
        </w:rPr>
        <w:t xml:space="preserve">────────────────────────────────────────────────────────────────────</w:t>
      </w:r>
      <w:r>
        <w:br/>
      </w:r>
      <w:r>
        <w:rPr>
          <w:rStyle w:val="VerbatimChar"/>
        </w:rPr>
        <w:t xml:space="preserve">Climate &amp; Environment        : 34.3%  ██████████████████████████████████</w:t>
      </w:r>
      <w:r>
        <w:br/>
      </w:r>
      <w:r>
        <w:rPr>
          <w:rStyle w:val="VerbatimChar"/>
        </w:rPr>
        <w:t xml:space="preserve">Health &amp; Welfare             : 18.7%  ███████████████████</w:t>
      </w:r>
      <w:r>
        <w:br/>
      </w:r>
      <w:r>
        <w:rPr>
          <w:rStyle w:val="VerbatimChar"/>
        </w:rPr>
        <w:t xml:space="preserve">Economy &amp; Tax/Money          : 14.6%  ███████████████</w:t>
      </w:r>
      <w:r>
        <w:br/>
      </w:r>
      <w:r>
        <w:rPr>
          <w:rStyle w:val="VerbatimChar"/>
        </w:rPr>
        <w:t xml:space="preserve">Education                    : 12.5%  █████████████</w:t>
      </w:r>
      <w:r>
        <w:br/>
      </w:r>
      <w:r>
        <w:rPr>
          <w:rStyle w:val="VerbatimChar"/>
        </w:rPr>
        <w:t xml:space="preserve">Democracy &amp; Participation    :  7.2%  ████████</w:t>
      </w:r>
      <w:r>
        <w:br/>
      </w:r>
      <w:r>
        <w:rPr>
          <w:rStyle w:val="VerbatimChar"/>
        </w:rPr>
        <w:t xml:space="preserve">International Affairs        :  5.3%  ██████</w:t>
      </w:r>
      <w:r>
        <w:br/>
      </w:r>
      <w:r>
        <w:rPr>
          <w:rStyle w:val="VerbatimChar"/>
        </w:rPr>
        <w:t xml:space="preserve">Technology &amp; Digital         :  4.1%  █████</w:t>
      </w:r>
      <w:r>
        <w:br/>
      </w:r>
      <w:r>
        <w:rPr>
          <w:rStyle w:val="VerbatimChar"/>
        </w:rPr>
        <w:t xml:space="preserve">Migration &amp; Integration      :  1.2%  ██</w:t>
      </w:r>
      <w:r>
        <w:br/>
      </w:r>
      <w:r>
        <w:rPr>
          <w:rStyle w:val="VerbatimChar"/>
        </w:rPr>
        <w:t xml:space="preserve">Other                        :  2.2%  ███</w:t>
      </w:r>
      <w:r>
        <w:br/>
      </w:r>
      <w:r>
        <w:rPr>
          <w:rStyle w:val="VerbatimChar"/>
        </w:rPr>
        <w:t xml:space="preserve">────────────────────────────────────────────────────────────────────</w:t>
      </w:r>
    </w:p>
    <w:p>
      <w:pPr>
        <w:pStyle w:val="FirstParagraph"/>
      </w:pPr>
      <w:r>
        <w:rPr>
          <w:iCs/>
          <w:i/>
        </w:rPr>
        <w:t xml:space="preserve">Figure 2. Thematic distribution of proposals, full corpus.</w:t>
      </w:r>
    </w:p>
    <w:p>
      <w:pPr>
        <w:pStyle w:val="BodyText"/>
      </w:pPr>
      <w:r>
        <w:t xml:space="preserve">Climate and environment dominate at 34%, congruent with Alternativet’s core green identity. The near-absence of migration and integration proposals (1.2%) is analytically significant: migration has been among the most contested policy areas in Danish politics throughout the observation period, and Alternativet experienced its most severe internal crisis in 2018–2019 partly over these issues (Bang Carlsen et al., 2023). The low proposal volume suggests either strong self-censorship on contested topics or that migration policy is perceived as a leadership preserve rather than a domain for grassroots initiative.</w:t>
      </w:r>
    </w:p>
    <w:p>
      <w:pPr>
        <w:pStyle w:val="BodyText"/>
      </w:pPr>
      <w:r>
        <w:t xml:space="preserve">Comparing the proposal corpus to the policy discussion corpus (638 topics across 19 subcategories) reveals systematic mismatches. Health is the single most active</w:t>
      </w:r>
      <w:r>
        <w:t xml:space="preserve"> </w:t>
      </w:r>
      <w:r>
        <w:rPr>
          <w:iCs/>
          <w:i/>
        </w:rPr>
        <w:t xml:space="preserve">discussion</w:t>
      </w:r>
      <w:r>
        <w:t xml:space="preserve"> </w:t>
      </w:r>
      <w:r>
        <w:t xml:space="preserve">category (12.4% of policy discussions) but ranks second in formal proposals. Democratic participation generates proportionally more</w:t>
      </w:r>
      <w:r>
        <w:t xml:space="preserve"> </w:t>
      </w:r>
      <w:r>
        <w:rPr>
          <w:iCs/>
          <w:i/>
        </w:rPr>
        <w:t xml:space="preserve">proposals</w:t>
      </w:r>
      <w:r>
        <w:t xml:space="preserve"> </w:t>
      </w:r>
      <w:r>
        <w:t xml:space="preserve">(7.2%) than its share of</w:t>
      </w:r>
      <w:r>
        <w:t xml:space="preserve"> </w:t>
      </w:r>
      <w:r>
        <w:rPr>
          <w:iCs/>
          <w:i/>
        </w:rPr>
        <w:t xml:space="preserve">discussions</w:t>
      </w:r>
      <w:r>
        <w:t xml:space="preserve"> </w:t>
      </w:r>
      <w:r>
        <w:t xml:space="preserve">(5.1%), suggesting it is more amenable to formalization. These mismatches point to genre-specific barriers: some political issues lend themselves more readily to the</w:t>
      </w:r>
      <w:r>
        <w:t xml:space="preserve"> </w:t>
      </w:r>
      <w:r>
        <w:t xml:space="preserve">“</w:t>
      </w:r>
      <w:r>
        <w:t xml:space="preserve">concrete and measurable</w:t>
      </w:r>
      <w:r>
        <w:t xml:space="preserve">”</w:t>
      </w:r>
      <w:r>
        <w:t xml:space="preserve"> </w:t>
      </w:r>
      <w:r>
        <w:t xml:space="preserve">format required by the template.</w:t>
      </w:r>
    </w:p>
    <w:bookmarkEnd w:id="32"/>
    <w:bookmarkStart w:id="33" w:name="X792b893cedbeed90dd422947bc22037074ccd98"/>
    <w:p>
      <w:pPr>
        <w:pStyle w:val="Heading3"/>
      </w:pPr>
      <w:r>
        <w:t xml:space="preserve">4.3 Frame Analysis: Four Legitimation Strategies</w:t>
      </w:r>
    </w:p>
    <w:p>
      <w:pPr>
        <w:pStyle w:val="FirstParagraph"/>
      </w:pPr>
      <w:r>
        <w:t xml:space="preserve">Qualitative analysis of the purposive sample of 25 proposals, combined with iterative reading of the full corpus, yields a typology of four frame types, described in Table 1.</w:t>
      </w:r>
    </w:p>
    <w:p>
      <w:pPr>
        <w:pStyle w:val="BodyText"/>
      </w:pPr>
      <w:r>
        <w:rPr>
          <w:bCs/>
          <w:b/>
        </w:rPr>
        <w:t xml:space="preserve">Table 1. Typology of proposal frame types</w:t>
      </w:r>
    </w:p>
    <w:tbl>
      <w:tblPr>
        <w:tblStyle w:val="Table"/>
        <w:tblW w:type="pct" w:w="5000.0"/>
        <w:tblLook w:firstRow="1" w:lastRow="0" w:firstColumn="0" w:lastColumn="0" w:noHBand="0" w:noVBand="0" w:val="0020"/>
      </w:tblPr>
      <w:tblGrid>
        <w:gridCol w:w="1584"/>
        <w:gridCol w:w="1584"/>
        <w:gridCol w:w="1584"/>
        <w:gridCol w:w="1584"/>
        <w:gridCol w:w="1584"/>
      </w:tblGrid>
      <w:tr>
        <w:tc>
          <w:p>
            <w:pPr>
              <w:pStyle w:val="Compact"/>
              <w:jc w:val="left"/>
            </w:pPr>
            <w:r>
              <w:t xml:space="preserve">Frame Type</w:t>
            </w:r>
          </w:p>
        </w:tc>
        <w:tc>
          <w:p>
            <w:pPr>
              <w:pStyle w:val="Compact"/>
              <w:jc w:val="left"/>
            </w:pPr>
            <w:r>
              <w:t xml:space="preserve">Core logic</w:t>
            </w:r>
          </w:p>
        </w:tc>
        <w:tc>
          <w:p>
            <w:pPr>
              <w:pStyle w:val="Compact"/>
              <w:jc w:val="left"/>
            </w:pPr>
            <w:r>
              <w:t xml:space="preserve">Epistemic warrant</w:t>
            </w:r>
          </w:p>
        </w:tc>
        <w:tc>
          <w:p>
            <w:pPr>
              <w:pStyle w:val="Compact"/>
              <w:jc w:val="left"/>
            </w:pPr>
            <w:r>
              <w:t xml:space="preserve">Linguistic markers</w:t>
            </w:r>
          </w:p>
        </w:tc>
        <w:tc>
          <w:p>
            <w:pPr>
              <w:pStyle w:val="Compact"/>
              <w:jc w:val="left"/>
            </w:pPr>
            <w:r>
              <w:t xml:space="preserve">% corpus (N=321)</w:t>
            </w:r>
          </w:p>
        </w:tc>
      </w:tr>
      <w:tr>
        <w:tc>
          <w:p>
            <w:pPr>
              <w:pStyle w:val="Compact"/>
              <w:jc w:val="left"/>
            </w:pPr>
            <w:r>
              <w:rPr>
                <w:bCs/>
                <w:b/>
              </w:rPr>
              <w:t xml:space="preserve">A — Social Solidarity</w:t>
            </w:r>
          </w:p>
        </w:tc>
        <w:tc>
          <w:p>
            <w:pPr>
              <w:pStyle w:val="Compact"/>
              <w:jc w:val="left"/>
            </w:pPr>
            <w:r>
              <w:t xml:space="preserve">Identifying measurable inequality; policy as remedy</w:t>
            </w:r>
          </w:p>
        </w:tc>
        <w:tc>
          <w:p>
            <w:pPr>
              <w:pStyle w:val="Compact"/>
              <w:jc w:val="left"/>
            </w:pPr>
            <w:r>
              <w:t xml:space="preserve">Social science evidence; rights</w:t>
            </w:r>
          </w:p>
        </w:tc>
        <w:tc>
          <w:p>
            <w:pPr>
              <w:pStyle w:val="Compact"/>
              <w:jc w:val="left"/>
            </w:pPr>
            <w:r>
              <w:t xml:space="preserve">“</w:t>
            </w:r>
            <w:r>
              <w:t xml:space="preserve">ulighed</w:t>
            </w:r>
            <w:r>
              <w:t xml:space="preserve">”</w:t>
            </w:r>
            <w:r>
              <w:t xml:space="preserve">, named disadvantaged groups, statistics</w:t>
            </w:r>
          </w:p>
        </w:tc>
        <w:tc>
          <w:p>
            <w:pPr>
              <w:pStyle w:val="Compact"/>
              <w:jc w:val="left"/>
            </w:pPr>
            <w:r>
              <w:t xml:space="preserve">38%</w:t>
            </w:r>
          </w:p>
        </w:tc>
      </w:tr>
      <w:tr>
        <w:tc>
          <w:p>
            <w:pPr>
              <w:pStyle w:val="Compact"/>
              <w:jc w:val="left"/>
            </w:pPr>
            <w:r>
              <w:rPr>
                <w:bCs/>
                <w:b/>
              </w:rPr>
              <w:t xml:space="preserve">B — Green Transition</w:t>
            </w:r>
          </w:p>
        </w:tc>
        <w:tc>
          <w:p>
            <w:pPr>
              <w:pStyle w:val="Compact"/>
              <w:jc w:val="left"/>
            </w:pPr>
            <w:r>
              <w:t xml:space="preserve">Environmental urgency; sustainability</w:t>
            </w:r>
          </w:p>
        </w:tc>
        <w:tc>
          <w:p>
            <w:pPr>
              <w:pStyle w:val="Compact"/>
              <w:jc w:val="left"/>
            </w:pPr>
            <w:r>
              <w:t xml:space="preserve">Natural science consensus</w:t>
            </w:r>
          </w:p>
        </w:tc>
        <w:tc>
          <w:p>
            <w:pPr>
              <w:pStyle w:val="Compact"/>
              <w:jc w:val="left"/>
            </w:pPr>
            <w:r>
              <w:t xml:space="preserve">“</w:t>
            </w:r>
            <w:r>
              <w:t xml:space="preserve">bæredygtig</w:t>
            </w:r>
            <w:r>
              <w:t xml:space="preserve">”</w:t>
            </w:r>
            <w:r>
              <w:t xml:space="preserve">, CO₂,</w:t>
            </w:r>
            <w:r>
              <w:t xml:space="preserve"> </w:t>
            </w:r>
            <w:r>
              <w:t xml:space="preserve">“</w:t>
            </w:r>
            <w:r>
              <w:t xml:space="preserve">omstilling</w:t>
            </w:r>
            <w:r>
              <w:t xml:space="preserve">”</w:t>
            </w:r>
            <w:r>
              <w:t xml:space="preserve">, climate data</w:t>
            </w:r>
          </w:p>
        </w:tc>
        <w:tc>
          <w:p>
            <w:pPr>
              <w:pStyle w:val="Compact"/>
              <w:jc w:val="left"/>
            </w:pPr>
            <w:r>
              <w:t xml:space="preserve">32%</w:t>
            </w:r>
          </w:p>
        </w:tc>
      </w:tr>
      <w:tr>
        <w:tc>
          <w:p>
            <w:pPr>
              <w:pStyle w:val="Compact"/>
              <w:jc w:val="left"/>
            </w:pPr>
            <w:r>
              <w:rPr>
                <w:bCs/>
                <w:b/>
              </w:rPr>
              <w:t xml:space="preserve">C — Democratic Innovation</w:t>
            </w:r>
          </w:p>
        </w:tc>
        <w:tc>
          <w:p>
            <w:pPr>
              <w:pStyle w:val="Compact"/>
              <w:jc w:val="left"/>
            </w:pPr>
            <w:r>
              <w:t xml:space="preserve">Procedural reform; institutional fairness</w:t>
            </w:r>
          </w:p>
        </w:tc>
        <w:tc>
          <w:p>
            <w:pPr>
              <w:pStyle w:val="Compact"/>
              <w:jc w:val="left"/>
            </w:pPr>
            <w:r>
              <w:t xml:space="preserve">Legal/procedural expertise</w:t>
            </w:r>
          </w:p>
        </w:tc>
        <w:tc>
          <w:p>
            <w:pPr>
              <w:pStyle w:val="Compact"/>
              <w:jc w:val="left"/>
            </w:pPr>
            <w:r>
              <w:t xml:space="preserve">Technical vocabulary, references to democratic principles</w:t>
            </w:r>
          </w:p>
        </w:tc>
        <w:tc>
          <w:p>
            <w:pPr>
              <w:pStyle w:val="Compact"/>
              <w:jc w:val="left"/>
            </w:pPr>
            <w:r>
              <w:t xml:space="preserve">10%</w:t>
            </w:r>
          </w:p>
        </w:tc>
      </w:tr>
      <w:tr>
        <w:tc>
          <w:p>
            <w:pPr>
              <w:pStyle w:val="Compact"/>
              <w:jc w:val="left"/>
            </w:pPr>
            <w:r>
              <w:rPr>
                <w:bCs/>
                <w:b/>
              </w:rPr>
              <w:t xml:space="preserve">D — Alternative Epistemics</w:t>
            </w:r>
          </w:p>
        </w:tc>
        <w:tc>
          <w:p>
            <w:pPr>
              <w:pStyle w:val="Compact"/>
              <w:jc w:val="left"/>
            </w:pPr>
            <w:r>
              <w:t xml:space="preserve">Challenging mainstream scientific or policy consensus</w:t>
            </w:r>
          </w:p>
        </w:tc>
        <w:tc>
          <w:p>
            <w:pPr>
              <w:pStyle w:val="Compact"/>
              <w:jc w:val="left"/>
            </w:pPr>
            <w:r>
              <w:t xml:space="preserve">Contrarian expertise; personal testimony; precautionary principle</w:t>
            </w:r>
          </w:p>
        </w:tc>
        <w:tc>
          <w:p>
            <w:pPr>
              <w:pStyle w:val="Compact"/>
              <w:jc w:val="left"/>
            </w:pPr>
            <w:r>
              <w:t xml:space="preserve">Anti-establishment register, fringe research citations</w:t>
            </w:r>
          </w:p>
        </w:tc>
        <w:tc>
          <w:p>
            <w:pPr>
              <w:pStyle w:val="Compact"/>
              <w:jc w:val="left"/>
            </w:pPr>
            <w:r>
              <w:t xml:space="preserve">5%</w:t>
            </w:r>
          </w:p>
        </w:tc>
      </w:tr>
      <w:tr>
        <w:tc>
          <w:p>
            <w:pPr>
              <w:pStyle w:val="Compact"/>
              <w:jc w:val="left"/>
            </w:pPr>
            <w:r>
              <w:t xml:space="preserve">Mixed/insufficient</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15%</w:t>
            </w:r>
          </w:p>
        </w:tc>
      </w:tr>
    </w:tbl>
    <w:p>
      <w:pPr>
        <w:pStyle w:val="BodyText"/>
      </w:pPr>
      <w:r>
        <w:t xml:space="preserve">Frame Type A dominates, reflecting the party’s equality discourse. Frame Type D — the most theoretically consequential — is rare in absolute terms but, as we show below, disproportionately consequential for engagement.</w:t>
      </w:r>
    </w:p>
    <w:p>
      <w:pPr>
        <w:pStyle w:val="BodyText"/>
      </w:pPr>
      <w:r>
        <w:t xml:space="preserve">Three Frame Type A proposals illustrate the dominant legitimation grammar. The dental care proposal (Topic #16730) opens:</w:t>
      </w:r>
      <w:r>
        <w:t xml:space="preserve"> </w:t>
      </w:r>
      <w:r>
        <w:rPr>
          <w:iCs/>
          <w:i/>
        </w:rPr>
        <w:t xml:space="preserve">“</w:t>
      </w:r>
      <w:r>
        <w:rPr>
          <w:iCs/>
          <w:i/>
        </w:rPr>
        <w:t xml:space="preserve">Uligheden i tandsundhed er større end uligheden i al anden sundhed. Personer uden arbejde går halvt så ofte til tandlæge som topledere. 40% af studerende udskyder tandlægebesøg af økonomiske årsager</w:t>
      </w:r>
      <w:r>
        <w:rPr>
          <w:iCs/>
          <w:i/>
        </w:rPr>
        <w:t xml:space="preserve">”</w:t>
      </w:r>
      <w:r>
        <w:t xml:space="preserve"> </w:t>
      </w:r>
      <w:r>
        <w:t xml:space="preserve">— three sequential quantitative claims constructing an inequality as a moral indictment, followed by a concrete policy prescription (extending free dental care to cover adults). This structure — evidence → named victim group → policy obligation — recurs across 60% of Frame Type A proposals, suggesting that members have internalized a distinctive grammar of legitimate political speech.</w:t>
      </w:r>
    </w:p>
    <w:p>
      <w:pPr>
        <w:pStyle w:val="BodyText"/>
      </w:pPr>
      <w:r>
        <w:t xml:space="preserve">Frame Type D proposals operate according to entirely different logic. The 5G proposal (Topic #9929) opens by citing</w:t>
      </w:r>
      <w:r>
        <w:t xml:space="preserve"> </w:t>
      </w:r>
      <w:r>
        <w:t xml:space="preserve">“</w:t>
      </w:r>
      <w:r>
        <w:t xml:space="preserve">approximately 250 researchers from 40 countries</w:t>
      </w:r>
      <w:r>
        <w:t xml:space="preserve">”</w:t>
      </w:r>
      <w:r>
        <w:t xml:space="preserve"> </w:t>
      </w:r>
      <w:r>
        <w:t xml:space="preserve">who signed an appeal against 5G, positioning the proposal within a counter-epistemic community that appeals to alternative expert authority to challenge regulatory consensus. The alternative medicine debate (Topic #14764) — unusually, a proposal to</w:t>
      </w:r>
      <w:r>
        <w:t xml:space="preserve"> </w:t>
      </w:r>
      <w:r>
        <w:rPr>
          <w:iCs/>
          <w:i/>
        </w:rPr>
        <w:t xml:space="preserve">remove</w:t>
      </w:r>
      <w:r>
        <w:t xml:space="preserve"> </w:t>
      </w:r>
      <w:r>
        <w:t xml:space="preserve">complementary medicine from the party platform, thereby establishing scientific credentials — generated the longest comment thread in the qualitative sample (13 replies), with participants citing directly opposing scientific authorities for the efficacy of acupuncture.</w:t>
      </w:r>
    </w:p>
    <w:p>
      <w:pPr>
        <w:pStyle w:val="BodyText"/>
      </w:pPr>
      <w:r>
        <w:t xml:space="preserve">The most striking qualitative finding in Frame Type D is the</w:t>
      </w:r>
      <w:r>
        <w:t xml:space="preserve"> </w:t>
      </w:r>
      <w:r>
        <w:rPr>
          <w:bCs/>
          <w:b/>
        </w:rPr>
        <w:t xml:space="preserve">values-alignment manoeuvre</w:t>
      </w:r>
      <w:r>
        <w:t xml:space="preserve">: heterodox proposals consistently invoke Alternativet’s own stated values — courage, humility, transparency — as legitimation for their epistemic heterodoxy. The 5G proposal explicitly invokes</w:t>
      </w:r>
      <w:r>
        <w:t xml:space="preserve"> </w:t>
      </w:r>
      <w:r>
        <w:t xml:space="preserve">“</w:t>
      </w:r>
      <w:r>
        <w:t xml:space="preserve">the courage to listen to scientists who challenge consensus.</w:t>
      </w:r>
      <w:r>
        <w:t xml:space="preserve">”</w:t>
      </w:r>
      <w:r>
        <w:t xml:space="preserve"> </w:t>
      </w:r>
      <w:r>
        <w:t xml:space="preserve">This manoeuvre is rhetorically sophisticated: it challenges the party’s scientific rationalism from within its own values vocabulary, making it difficult to reject without appearing to violate the party’s foundational commitments.</w:t>
      </w:r>
    </w:p>
    <w:bookmarkEnd w:id="33"/>
    <w:bookmarkStart w:id="34" w:name="engagement-asymmetry"/>
    <w:p>
      <w:pPr>
        <w:pStyle w:val="Heading3"/>
      </w:pPr>
      <w:r>
        <w:t xml:space="preserve">4.4 Engagement Asymmetry</w:t>
      </w:r>
    </w:p>
    <w:p>
      <w:pPr>
        <w:pStyle w:val="FirstParagraph"/>
      </w:pPr>
      <w:r>
        <w:t xml:space="preserve">Table 2 presents engagement statistics disaggregated by frame type for proposals with full-text data.</w:t>
      </w:r>
    </w:p>
    <w:p>
      <w:pPr>
        <w:pStyle w:val="BodyText"/>
      </w:pPr>
      <w:r>
        <w:rPr>
          <w:bCs/>
          <w:b/>
        </w:rPr>
        <w:t xml:space="preserve">Table 2. Engagement by frame type (N=321 proposals)</w:t>
      </w:r>
    </w:p>
    <w:tbl>
      <w:tblPr>
        <w:tblStyle w:val="Table"/>
        <w:tblW w:type="pct" w:w="0.0"/>
        <w:tblLook w:firstRow="1" w:lastRow="0" w:firstColumn="0" w:lastColumn="0" w:noHBand="0" w:noVBand="0" w:val="0020"/>
      </w:tblPr>
      <w:tblGrid/>
      <w:tr>
        <w:tc>
          <w:p>
            <w:pPr>
              <w:pStyle w:val="Compact"/>
              <w:jc w:val="left"/>
            </w:pPr>
            <w:r>
              <w:t xml:space="preserve">Frame Type</w:t>
            </w:r>
          </w:p>
        </w:tc>
        <w:tc>
          <w:p>
            <w:pPr>
              <w:pStyle w:val="Compact"/>
              <w:jc w:val="left"/>
            </w:pPr>
            <w:r>
              <w:t xml:space="preserve">N</w:t>
            </w:r>
          </w:p>
        </w:tc>
        <w:tc>
          <w:p>
            <w:pPr>
              <w:pStyle w:val="Compact"/>
              <w:jc w:val="left"/>
            </w:pPr>
            <w:r>
              <w:t xml:space="preserve">Median views</w:t>
            </w:r>
          </w:p>
        </w:tc>
        <w:tc>
          <w:p>
            <w:pPr>
              <w:pStyle w:val="Compact"/>
              <w:jc w:val="left"/>
            </w:pPr>
            <w:r>
              <w:t xml:space="preserve">Median likes</w:t>
            </w:r>
          </w:p>
        </w:tc>
        <w:tc>
          <w:p>
            <w:pPr>
              <w:pStyle w:val="Compact"/>
              <w:jc w:val="left"/>
            </w:pPr>
            <w:r>
              <w:t xml:space="preserve">Median replies</w:t>
            </w:r>
          </w:p>
        </w:tc>
        <w:tc>
          <w:p>
            <w:pPr>
              <w:pStyle w:val="Compact"/>
              <w:jc w:val="left"/>
            </w:pPr>
            <w:r>
              <w:t xml:space="preserve">Mean composite score*</w:t>
            </w:r>
          </w:p>
        </w:tc>
      </w:tr>
      <w:tr>
        <w:tc>
          <w:p>
            <w:pPr>
              <w:pStyle w:val="Compact"/>
              <w:jc w:val="left"/>
            </w:pPr>
            <w:r>
              <w:t xml:space="preserve">D — Alternative Epistemics</w:t>
            </w:r>
          </w:p>
        </w:tc>
        <w:tc>
          <w:p>
            <w:pPr>
              <w:pStyle w:val="Compact"/>
              <w:jc w:val="left"/>
            </w:pPr>
            <w:r>
              <w:t xml:space="preserve">16</w:t>
            </w:r>
          </w:p>
        </w:tc>
        <w:tc>
          <w:p>
            <w:pPr>
              <w:pStyle w:val="Compact"/>
              <w:jc w:val="left"/>
            </w:pPr>
            <w:r>
              <w:t xml:space="preserve">5,842</w:t>
            </w:r>
          </w:p>
        </w:tc>
        <w:tc>
          <w:p>
            <w:pPr>
              <w:pStyle w:val="Compact"/>
              <w:jc w:val="left"/>
            </w:pPr>
            <w:r>
              <w:t xml:space="preserve">12</w:t>
            </w:r>
          </w:p>
        </w:tc>
        <w:tc>
          <w:p>
            <w:pPr>
              <w:pStyle w:val="Compact"/>
              <w:jc w:val="left"/>
            </w:pPr>
            <w:r>
              <w:t xml:space="preserve">14</w:t>
            </w:r>
          </w:p>
        </w:tc>
        <w:tc>
          <w:p>
            <w:pPr>
              <w:pStyle w:val="Compact"/>
              <w:jc w:val="left"/>
            </w:pPr>
            <w:r>
              <w:t xml:space="preserve">8,920</w:t>
            </w:r>
          </w:p>
        </w:tc>
      </w:tr>
      <w:tr>
        <w:tc>
          <w:p>
            <w:pPr>
              <w:pStyle w:val="Compact"/>
              <w:jc w:val="left"/>
            </w:pPr>
            <w:r>
              <w:t xml:space="preserve">A — Social Solidarity</w:t>
            </w:r>
          </w:p>
        </w:tc>
        <w:tc>
          <w:p>
            <w:pPr>
              <w:pStyle w:val="Compact"/>
              <w:jc w:val="left"/>
            </w:pPr>
            <w:r>
              <w:t xml:space="preserve">122</w:t>
            </w:r>
          </w:p>
        </w:tc>
        <w:tc>
          <w:p>
            <w:pPr>
              <w:pStyle w:val="Compact"/>
              <w:jc w:val="left"/>
            </w:pPr>
            <w:r>
              <w:t xml:space="preserve">1,590</w:t>
            </w:r>
          </w:p>
        </w:tc>
        <w:tc>
          <w:p>
            <w:pPr>
              <w:pStyle w:val="Compact"/>
              <w:jc w:val="left"/>
            </w:pPr>
            <w:r>
              <w:t xml:space="preserve">1</w:t>
            </w:r>
          </w:p>
        </w:tc>
        <w:tc>
          <w:p>
            <w:pPr>
              <w:pStyle w:val="Compact"/>
              <w:jc w:val="left"/>
            </w:pPr>
            <w:r>
              <w:t xml:space="preserve">5</w:t>
            </w:r>
          </w:p>
        </w:tc>
        <w:tc>
          <w:p>
            <w:pPr>
              <w:pStyle w:val="Compact"/>
              <w:jc w:val="left"/>
            </w:pPr>
            <w:r>
              <w:t xml:space="preserve">2,090</w:t>
            </w:r>
          </w:p>
        </w:tc>
      </w:tr>
      <w:tr>
        <w:tc>
          <w:p>
            <w:pPr>
              <w:pStyle w:val="Compact"/>
              <w:jc w:val="left"/>
            </w:pPr>
            <w:r>
              <w:t xml:space="preserve">B — Green Transition</w:t>
            </w:r>
          </w:p>
        </w:tc>
        <w:tc>
          <w:p>
            <w:pPr>
              <w:pStyle w:val="Compact"/>
              <w:jc w:val="left"/>
            </w:pPr>
            <w:r>
              <w:t xml:space="preserve">103</w:t>
            </w:r>
          </w:p>
        </w:tc>
        <w:tc>
          <w:p>
            <w:pPr>
              <w:pStyle w:val="Compact"/>
              <w:jc w:val="left"/>
            </w:pPr>
            <w:r>
              <w:t xml:space="preserve">1,240</w:t>
            </w:r>
          </w:p>
        </w:tc>
        <w:tc>
          <w:p>
            <w:pPr>
              <w:pStyle w:val="Compact"/>
              <w:jc w:val="left"/>
            </w:pPr>
            <w:r>
              <w:t xml:space="preserve">1</w:t>
            </w:r>
          </w:p>
        </w:tc>
        <w:tc>
          <w:p>
            <w:pPr>
              <w:pStyle w:val="Compact"/>
              <w:jc w:val="left"/>
            </w:pPr>
            <w:r>
              <w:t xml:space="preserve">4</w:t>
            </w:r>
          </w:p>
        </w:tc>
        <w:tc>
          <w:p>
            <w:pPr>
              <w:pStyle w:val="Compact"/>
              <w:jc w:val="left"/>
            </w:pPr>
            <w:r>
              <w:t xml:space="preserve">1,780</w:t>
            </w:r>
          </w:p>
        </w:tc>
      </w:tr>
      <w:tr>
        <w:tc>
          <w:p>
            <w:pPr>
              <w:pStyle w:val="Compact"/>
              <w:jc w:val="left"/>
            </w:pPr>
            <w:r>
              <w:t xml:space="preserve">C — Democratic Innovation</w:t>
            </w:r>
          </w:p>
        </w:tc>
        <w:tc>
          <w:p>
            <w:pPr>
              <w:pStyle w:val="Compact"/>
              <w:jc w:val="left"/>
            </w:pPr>
            <w:r>
              <w:t xml:space="preserve">32</w:t>
            </w:r>
          </w:p>
        </w:tc>
        <w:tc>
          <w:p>
            <w:pPr>
              <w:pStyle w:val="Compact"/>
              <w:jc w:val="left"/>
            </w:pPr>
            <w:r>
              <w:t xml:space="preserve">1,870</w:t>
            </w:r>
          </w:p>
        </w:tc>
        <w:tc>
          <w:p>
            <w:pPr>
              <w:pStyle w:val="Compact"/>
              <w:jc w:val="left"/>
            </w:pPr>
            <w:r>
              <w:t xml:space="preserve">2</w:t>
            </w:r>
          </w:p>
        </w:tc>
        <w:tc>
          <w:p>
            <w:pPr>
              <w:pStyle w:val="Compact"/>
              <w:jc w:val="left"/>
            </w:pPr>
            <w:r>
              <w:t xml:space="preserve">6</w:t>
            </w:r>
          </w:p>
        </w:tc>
        <w:tc>
          <w:p>
            <w:pPr>
              <w:pStyle w:val="Compact"/>
              <w:jc w:val="left"/>
            </w:pPr>
            <w:r>
              <w:t xml:space="preserve">2,480</w:t>
            </w:r>
          </w:p>
        </w:tc>
      </w:tr>
      <w:tr>
        <w:tc>
          <w:p>
            <w:pPr>
              <w:pStyle w:val="Compact"/>
              <w:jc w:val="left"/>
            </w:pPr>
            <w:r>
              <w:t xml:space="preserve">Mixed/Other</w:t>
            </w:r>
          </w:p>
        </w:tc>
        <w:tc>
          <w:p>
            <w:pPr>
              <w:pStyle w:val="Compact"/>
              <w:jc w:val="left"/>
            </w:pPr>
            <w:r>
              <w:t xml:space="preserve">48</w:t>
            </w:r>
          </w:p>
        </w:tc>
        <w:tc>
          <w:p>
            <w:pPr>
              <w:pStyle w:val="Compact"/>
              <w:jc w:val="left"/>
            </w:pPr>
            <w:r>
              <w:t xml:space="preserve">1,100</w:t>
            </w:r>
          </w:p>
        </w:tc>
        <w:tc>
          <w:p>
            <w:pPr>
              <w:pStyle w:val="Compact"/>
              <w:jc w:val="left"/>
            </w:pPr>
            <w:r>
              <w:t xml:space="preserve">1</w:t>
            </w:r>
          </w:p>
        </w:tc>
        <w:tc>
          <w:p>
            <w:pPr>
              <w:pStyle w:val="Compact"/>
              <w:jc w:val="left"/>
            </w:pPr>
            <w:r>
              <w:t xml:space="preserve">3</w:t>
            </w:r>
          </w:p>
        </w:tc>
        <w:tc>
          <w:p>
            <w:pPr>
              <w:pStyle w:val="Compact"/>
              <w:jc w:val="left"/>
            </w:pPr>
            <w:r>
              <w:t xml:space="preserve">1,430</w:t>
            </w:r>
          </w:p>
        </w:tc>
      </w:tr>
    </w:tbl>
    <w:p>
      <w:pPr>
        <w:pStyle w:val="BodyText"/>
      </w:pPr>
      <w:r>
        <w:rPr>
          <w:iCs/>
          <w:i/>
        </w:rPr>
        <w:t xml:space="preserve">Composite = views + likes×100 + replies×10</w:t>
      </w:r>
    </w:p>
    <w:p>
      <w:pPr>
        <w:pStyle w:val="BodyText"/>
      </w:pPr>
      <w:r>
        <w:t xml:space="preserve">The engagement asymmetry is striking. Frame Type D proposals attract median composite scores more than four times higher than Frame Types A and B. The 5G proposal alone (10,860 views, 198 likes, 71 replies) accounts for 30% of all likes across the entire corpus. The like distribution across all 321 proposals follows an extreme power law: Gini coefficient = 0.833, with the top 5% of proposals (n=16) accounting for 62% of all likes. This degree of concentration is substantially higher than what has been documented in parliamentary co-sponsorship networks (Fowler, 2006) and approaches the concentration levels observed in viral social media content (Bakshy et al., 2012).</w:t>
      </w:r>
    </w:p>
    <w:p>
      <w:pPr>
        <w:pStyle w:val="BodyText"/>
      </w:pPr>
      <w:r>
        <w:t xml:space="preserve">Importantly, engagement asymmetry is not uniformly driven by heterodoxy. The three proposals with the highest</w:t>
      </w:r>
      <w:r>
        <w:t xml:space="preserve"> </w:t>
      </w:r>
      <w:r>
        <w:rPr>
          <w:iCs/>
          <w:i/>
        </w:rPr>
        <w:t xml:space="preserve">view</w:t>
      </w:r>
      <w:r>
        <w:t xml:space="preserve"> </w:t>
      </w:r>
      <w:r>
        <w:t xml:space="preserve">counts include two Frame Type A proposals (disability discrimination, #6818, 18,064 views; UN disability convention incorporation, #6791, 12,581 views), suggesting that some mainstream proposals also attract very high passive interest. The engagement asymmetry for Frame Type D is specifically located in the</w:t>
      </w:r>
      <w:r>
        <w:t xml:space="preserve"> </w:t>
      </w:r>
      <w:r>
        <w:rPr>
          <w:iCs/>
          <w:i/>
        </w:rPr>
        <w:t xml:space="preserve">active</w:t>
      </w:r>
      <w:r>
        <w:t xml:space="preserve"> </w:t>
      </w:r>
      <w:r>
        <w:t xml:space="preserve">engagement metrics (likes, replies) rather than passive viewing, consistent with the hypothesis that heterodox content triggers affective responses that mainstream content does not.</w:t>
      </w:r>
    </w:p>
    <w:p>
      <w:pPr>
        <w:pStyle w:val="BodyText"/>
      </w:pPr>
      <w:r>
        <w:t xml:space="preserve">The pipeline stage distribution of Frame Type D proposals is also revealing: of the 16 heterodox proposals, 14 remain in the</w:t>
      </w:r>
      <w:r>
        <w:t xml:space="preserve"> </w:t>
      </w:r>
      <w:r>
        <w:t xml:space="preserve">“</w:t>
      </w:r>
      <w:r>
        <w:t xml:space="preserve">under development</w:t>
      </w:r>
      <w:r>
        <w:t xml:space="preserve">”</w:t>
      </w:r>
      <w:r>
        <w:t xml:space="preserve"> </w:t>
      </w:r>
      <w:r>
        <w:t xml:space="preserve">or</w:t>
      </w:r>
      <w:r>
        <w:t xml:space="preserve"> </w:t>
      </w:r>
      <w:r>
        <w:t xml:space="preserve">“</w:t>
      </w:r>
      <w:r>
        <w:t xml:space="preserve">seeking co-proposers</w:t>
      </w:r>
      <w:r>
        <w:t xml:space="preserve">”</w:t>
      </w:r>
      <w:r>
        <w:t xml:space="preserve"> </w:t>
      </w:r>
      <w:r>
        <w:t xml:space="preserve">stages, with none having advanced to the Political Catalog. In contrast, Frame Types A and B show advancement rates of approximately 40% to the catalog stage. This confirms that the engagement asymmetry is not translating into pipeline success: the proposals that generate the most democratic energy are systematically excluded from formal policy development.</w:t>
      </w:r>
    </w:p>
    <w:bookmarkEnd w:id="34"/>
    <w:bookmarkStart w:id="35" w:name="X4ea0beba8c0734d122e2bd09e39ec3a82b1e3c9"/>
    <w:p>
      <w:pPr>
        <w:pStyle w:val="Heading3"/>
      </w:pPr>
      <w:r>
        <w:t xml:space="preserve">4.5 Co-Participation Networks: The Heterodox Enclave</w:t>
      </w:r>
    </w:p>
    <w:p>
      <w:pPr>
        <w:pStyle w:val="FirstParagraph"/>
      </w:pPr>
      <w:r>
        <w:t xml:space="preserve">Network analysis of user co-participation across all 321 proposals yields a network of 256 unique users connected through 1,060 co-participation edges. Restricting to users with ≥2 proposal participations (the</w:t>
      </w:r>
      <w:r>
        <w:t xml:space="preserve"> </w:t>
      </w:r>
      <w:r>
        <w:t xml:space="preserve">“</w:t>
      </w:r>
      <w:r>
        <w:t xml:space="preserve">active network</w:t>
      </w:r>
      <w:r>
        <w:t xml:space="preserve">”</w:t>
      </w:r>
      <w:r>
        <w:t xml:space="preserve">) yields 88 nodes and 332 edges.</w:t>
      </w:r>
    </w:p>
    <w:p>
      <w:pPr>
        <w:pStyle w:val="BodyText"/>
      </w:pPr>
      <w:r>
        <w:t xml:space="preserve">Figure 3 (described here in structural terms, as actual visualization would require full network rendering) shows a core-periphery structure characteristic of deliberative communities: a dense core of approximately 15 users participating across many proposals, surrounded by a larger periphery of occasional participants. The three most connected users — Christine (13 proposals), gunhild.98407770 (11 proposals), and Toke_Panduro (9 proposals) — serve as structural bridges across different thematic communities.</w:t>
      </w:r>
    </w:p>
    <w:p>
      <w:pPr>
        <w:pStyle w:val="BodyText"/>
      </w:pPr>
      <w:r>
        <w:t xml:space="preserve">The key finding from network analysis concerns the position of heterodox participants. We identified 5 proposals classified as heterodox using a keyword dictionary validated against qualitative coding (5G, alternative money reform, wood-burning stoves, alternative medicine removal, complementary medicine defense). These proposals involved 22 unique users.</w:t>
      </w:r>
    </w:p>
    <w:p>
      <w:pPr>
        <w:pStyle w:val="BodyText"/>
      </w:pPr>
      <w:r>
        <w:t xml:space="preserve">Of these 22 users,</w:t>
      </w:r>
      <w:r>
        <w:t xml:space="preserve"> </w:t>
      </w:r>
      <w:r>
        <w:rPr>
          <w:bCs/>
          <w:b/>
        </w:rPr>
        <w:t xml:space="preserve">13 (59%) never participate in any mainstream proposal thread</w:t>
      </w:r>
      <w:r>
        <w:t xml:space="preserve"> </w:t>
      </w:r>
      <w:r>
        <w:t xml:space="preserve">in the full corpus. They are connected to the broader network only through the heterodox proposal threads — constituting what we term an</w:t>
      </w:r>
      <w:r>
        <w:t xml:space="preserve"> </w:t>
      </w:r>
      <w:r>
        <w:rPr>
          <w:bCs/>
          <w:b/>
        </w:rPr>
        <w:t xml:space="preserve">epistemic enclave</w:t>
      </w:r>
      <w:r>
        <w:t xml:space="preserve">: structurally isolated within the platform’s deliberative community, sharing participation exclusively with like-minded users. The remaining 9</w:t>
      </w:r>
      <w:r>
        <w:t xml:space="preserve"> </w:t>
      </w:r>
      <w:r>
        <w:t xml:space="preserve">“</w:t>
      </w:r>
      <w:r>
        <w:t xml:space="preserve">bridge</w:t>
      </w:r>
      <w:r>
        <w:t xml:space="preserve">”</w:t>
      </w:r>
      <w:r>
        <w:t xml:space="preserve"> </w:t>
      </w:r>
      <w:r>
        <w:t xml:space="preserve">users participate in both heterodox and mainstream proposals, suggesting a partial integration into the broader community.</w:t>
      </w:r>
    </w:p>
    <w:p>
      <w:pPr>
        <w:pStyle w:val="BodyText"/>
      </w:pPr>
      <w:r>
        <w:t xml:space="preserve">This finding has two implications. First, the epistemic enclave structure means that heterodox proposals receive substantial engagement (likes, views, replies) from users who are not otherwise embedded in the platform’s deliberative culture — they activate an audience that is largely non-participatory in mainstream discussions. Second, the bridge users represent a potential mechanism for deliberative integration that the platform’s current structure does not systematically support.</w:t>
      </w:r>
    </w:p>
    <w:p>
      <w:pPr>
        <w:pStyle w:val="BodyText"/>
      </w:pPr>
      <w:r>
        <w:t xml:space="preserve">Network analysis also reveals temporal dynamics in heterodox participation. The 5G proposal (2019) and the money reform proposals (2016–2017) cluster in different time periods and involve largely non-overlapping user sets. This suggests that heterodox participation is not driven by a stable heterodox community but by topic-specific activation — different heterodox issues mobilize different user subgroups.</w:t>
      </w:r>
    </w:p>
    <w:p>
      <w:r>
        <w:pict>
          <v:rect style="width:0;height:1.5pt" o:hralign="center" o:hrstd="t" o:hr="t"/>
        </w:pict>
      </w:r>
    </w:p>
    <w:bookmarkEnd w:id="35"/>
    <w:bookmarkEnd w:id="36"/>
    <w:bookmarkStart w:id="38" w:name="discussion-the-formalization-dilemma"/>
    <w:p>
      <w:pPr>
        <w:pStyle w:val="Heading2"/>
      </w:pPr>
      <w:r>
        <w:t xml:space="preserve">5. Discussion: The Formalization Dilemma</w:t>
      </w:r>
    </w:p>
    <w:p>
      <w:pPr>
        <w:pStyle w:val="FirstParagraph"/>
      </w:pPr>
      <w:r>
        <w:t xml:space="preserve">Our findings converge on what we propose to call the</w:t>
      </w:r>
      <w:r>
        <w:t xml:space="preserve"> </w:t>
      </w:r>
      <w:r>
        <w:rPr>
          <w:bCs/>
          <w:b/>
        </w:rPr>
        <w:t xml:space="preserve">formalization dilemma</w:t>
      </w:r>
      <w:r>
        <w:t xml:space="preserve"> </w:t>
      </w:r>
      <w:r>
        <w:t xml:space="preserve">in digital intra-party democracy. The dilemma can be stated simply: the more a participatory platform formalizes its procedures to make participation institutionally consequential (requiring political laboratories, co-signatories, measurable policy proposals, expert consultation), the more it reproduces the elite-controlled policy development it was designed to replace; but the more it relaxes these requirements in the interest of genuine openness, the more it risks amplifying content that challenges the party’s epistemic foundations and political coherence.</w:t>
      </w:r>
    </w:p>
    <w:p>
      <w:pPr>
        <w:pStyle w:val="BodyText"/>
      </w:pPr>
      <w:r>
        <w:t xml:space="preserve">This dilemma is not a design flaw that better architecture could resolve. It is constitutive of the movement-party project itself, arising from the intersection of three structural features:</w:t>
      </w:r>
    </w:p>
    <w:p>
      <w:pPr>
        <w:pStyle w:val="BodyText"/>
      </w:pPr>
      <w:r>
        <w:rPr>
          <w:bCs/>
          <w:b/>
        </w:rPr>
        <w:t xml:space="preserve">Epistemic diversity</w:t>
      </w:r>
      <w:r>
        <w:t xml:space="preserve"> </w:t>
      </w:r>
      <w:r>
        <w:t xml:space="preserve">as organizational resource and liability. Alternativet’s founding logic — building a party around values rather than ideology — is explicitly designed to attract epistemically diverse members. Values like</w:t>
      </w:r>
      <w:r>
        <w:t xml:space="preserve"> </w:t>
      </w:r>
      <w:r>
        <w:t xml:space="preserve">“</w:t>
      </w:r>
      <w:r>
        <w:t xml:space="preserve">courage</w:t>
      </w:r>
      <w:r>
        <w:t xml:space="preserve">”</w:t>
      </w:r>
      <w:r>
        <w:t xml:space="preserve"> </w:t>
      </w:r>
      <w:r>
        <w:t xml:space="preserve">and</w:t>
      </w:r>
      <w:r>
        <w:t xml:space="preserve"> </w:t>
      </w:r>
      <w:r>
        <w:t xml:space="preserve">“</w:t>
      </w:r>
      <w:r>
        <w:t xml:space="preserve">transparency</w:t>
      </w:r>
      <w:r>
        <w:t xml:space="preserve">”</w:t>
      </w:r>
      <w:r>
        <w:t xml:space="preserve"> </w:t>
      </w:r>
      <w:r>
        <w:t xml:space="preserve">are capacious enough to accommodate both progressive scientists and alternative-medicine advocates. This is organizationally productive in generating a broad member base but creates latent epistemological tension that surfaces in the proposal process.</w:t>
      </w:r>
    </w:p>
    <w:p>
      <w:pPr>
        <w:pStyle w:val="BodyText"/>
      </w:pPr>
      <w:r>
        <w:rPr>
          <w:bCs/>
          <w:b/>
        </w:rPr>
        <w:t xml:space="preserve">The pipeline as quality-cum-ideology filter</w:t>
      </w:r>
      <w:r>
        <w:t xml:space="preserve">. The formal requirements of the proposal pipeline — measurable actions, political laboratories, expert consultation — are ostensibly quality standards. In practice, as our data shows, they function as ideology standards: proposals that engage with heterodox epistemology cannot easily satisfy requirements for expert consultation that presuppose mainstream scientific authority. The filter is structurally blind to this distinction, treating methodological non-compliance as equivalent to poor proposal quality.</w:t>
      </w:r>
    </w:p>
    <w:p>
      <w:pPr>
        <w:pStyle w:val="BodyText"/>
      </w:pPr>
      <w:r>
        <w:rPr>
          <w:bCs/>
          <w:b/>
        </w:rPr>
        <w:t xml:space="preserve">Engagement as democratic signal</w:t>
      </w:r>
      <w:r>
        <w:t xml:space="preserve">. Digital platforms inevitably produce engagement metrics (views, likes, replies) that function as proxies for democratic endorsement. Our finding that the most-liked proposal in a decade of Alternativet’s digital democracy is one calling for 5G technology to be stopped — a position not supported by mainstream scientific consensus — places the party’s digital democracy infrastructure in direct tension with its scientific rationalism. The platform’s design has no mechanism for distinguishing legitimate democratic enthusiasm from mobilization by epistemic outliers.</w:t>
      </w:r>
    </w:p>
    <w:p>
      <w:pPr>
        <w:pStyle w:val="BodyText"/>
      </w:pPr>
      <w:r>
        <w:t xml:space="preserve">The formalization dilemma illuminates several findings in the existing literature. Gerbaudo’s (2019) observation that digital party platforms often produce</w:t>
      </w:r>
      <w:r>
        <w:t xml:space="preserve"> </w:t>
      </w:r>
      <w:r>
        <w:t xml:space="preserve">“</w:t>
      </w:r>
      <w:r>
        <w:t xml:space="preserve">phantom participation</w:t>
      </w:r>
      <w:r>
        <w:t xml:space="preserve">”</w:t>
      </w:r>
      <w:r>
        <w:t xml:space="preserve"> </w:t>
      </w:r>
      <w:r>
        <w:t xml:space="preserve">— formal engagement without substantive policy influence — can now be understood not merely as an implementation failure but as a structural response to the formalization dilemma: formalizing participation is precisely how parties protect policy coherence from genuine democratic input. Deseriis’s (2020)</w:t>
      </w:r>
      <w:r>
        <w:t xml:space="preserve"> </w:t>
      </w:r>
      <w:r>
        <w:t xml:space="preserve">“</w:t>
      </w:r>
      <w:r>
        <w:t xml:space="preserve">technopopulism</w:t>
      </w:r>
      <w:r>
        <w:t xml:space="preserve">”</w:t>
      </w:r>
      <w:r>
        <w:t xml:space="preserve"> </w:t>
      </w:r>
      <w:r>
        <w:t xml:space="preserve">argument — that platforms generate legitimacy for predetermined decisions — appears less cynically intentional and more structurally necessary when viewed through the formalization dilemma lens.</w:t>
      </w:r>
    </w:p>
    <w:p>
      <w:pPr>
        <w:pStyle w:val="BodyText"/>
      </w:pPr>
      <w:r>
        <w:t xml:space="preserve">The engagement asymmetry we document — extreme Gini concentration (0.833), heterodox content generating 4× the median engagement of mainstream frames — represents a previously undocumented empirical pattern in the digital party democracy literature. It is consistent with research on viral political content (Bakshy et al., 2012) and echo chambers (Sunstein, 2017) but has not previously been demonstrated within the bounded context of a party platform. The finding is not that heterodox content is dominant — it represents only 5% of proposals — but that it is disproportionately salient as a signal of democratic vitality, creating systematic misleading cues for party leadership seeking to understand member preferences.</w:t>
      </w:r>
    </w:p>
    <w:p>
      <w:pPr>
        <w:pStyle w:val="BodyText"/>
      </w:pPr>
      <w:r>
        <w:t xml:space="preserve">The epistemic enclave finding from network analysis adds a structural dimension to this picture. The 59% of heterodox participants who never engage in mainstream discussions constitute what is effectively a parallel deliberative community within the platform — sharing its architecture but not its deliberative community. This finding complicates the standard framing of intra-party democracy as a single community deliberating collectively: in practice, the platform hosts multiple, loosely connected communities with distinct epistemic orientations. The bridge users (41% of heterodox participants) represent the most promising site for genuine deliberative integration, but the platform provides no structural incentives for such bridging.</w:t>
      </w:r>
    </w:p>
    <w:bookmarkStart w:id="37" w:name="implications-for-digital-party-design"/>
    <w:p>
      <w:pPr>
        <w:pStyle w:val="Heading3"/>
      </w:pPr>
      <w:r>
        <w:t xml:space="preserve">5.1 Implications for Digital Party Design</w:t>
      </w:r>
    </w:p>
    <w:p>
      <w:pPr>
        <w:pStyle w:val="FirstParagraph"/>
      </w:pPr>
      <w:r>
        <w:t xml:space="preserve">Our findings suggest several implications for how movement parties might reconsider their digital democracy infrastructure.</w:t>
      </w:r>
    </w:p>
    <w:p>
      <w:pPr>
        <w:pStyle w:val="BodyText"/>
      </w:pPr>
      <w:r>
        <w:t xml:space="preserve">First,</w:t>
      </w:r>
      <w:r>
        <w:t xml:space="preserve"> </w:t>
      </w:r>
      <w:r>
        <w:rPr>
          <w:bCs/>
          <w:b/>
        </w:rPr>
        <w:t xml:space="preserve">transparency about the pipeline’s function</w:t>
      </w:r>
      <w:r>
        <w:t xml:space="preserve"> </w:t>
      </w:r>
      <w:r>
        <w:t xml:space="preserve">could partially address the frustration documented in netnographic observation. If the proposal pipeline is understood as a quality-development process rather than a direct democracy mechanism — and if this understanding is explicitly communicated — members might invest differently and with more realistic expectations.</w:t>
      </w:r>
    </w:p>
    <w:p>
      <w:pPr>
        <w:pStyle w:val="BodyText"/>
      </w:pPr>
      <w:r>
        <w:t xml:space="preserve">Second,</w:t>
      </w:r>
      <w:r>
        <w:t xml:space="preserve"> </w:t>
      </w:r>
      <w:r>
        <w:rPr>
          <w:bCs/>
          <w:b/>
        </w:rPr>
        <w:t xml:space="preserve">differentiated participation channels</w:t>
      </w:r>
      <w:r>
        <w:t xml:space="preserve"> </w:t>
      </w:r>
      <w:r>
        <w:t xml:space="preserve">might address the engagement asymmetry problem. A distinction between a</w:t>
      </w:r>
      <w:r>
        <w:t xml:space="preserve"> </w:t>
      </w:r>
      <w:r>
        <w:t xml:space="preserve">“</w:t>
      </w:r>
      <w:r>
        <w:t xml:space="preserve">deliberation</w:t>
      </w:r>
      <w:r>
        <w:t xml:space="preserve">”</w:t>
      </w:r>
      <w:r>
        <w:t xml:space="preserve"> </w:t>
      </w:r>
      <w:r>
        <w:t xml:space="preserve">channel (for developing mainstream proposals through the formal pipeline) and a</w:t>
      </w:r>
      <w:r>
        <w:t xml:space="preserve"> </w:t>
      </w:r>
      <w:r>
        <w:t xml:space="preserve">“</w:t>
      </w:r>
      <w:r>
        <w:t xml:space="preserve">values conversation</w:t>
      </w:r>
      <w:r>
        <w:t xml:space="preserve">”</w:t>
      </w:r>
      <w:r>
        <w:t xml:space="preserve"> </w:t>
      </w:r>
      <w:r>
        <w:t xml:space="preserve">channel (for discussing heterodox or exploratory positions without the expectation of formal policy advancement) could allow the party to honor member epistemic diversity without conflating deliberative engagement with policy endorsement.</w:t>
      </w:r>
    </w:p>
    <w:p>
      <w:pPr>
        <w:pStyle w:val="BodyText"/>
      </w:pPr>
      <w:r>
        <w:t xml:space="preserve">Third,</w:t>
      </w:r>
      <w:r>
        <w:t xml:space="preserve"> </w:t>
      </w:r>
      <w:r>
        <w:rPr>
          <w:bCs/>
          <w:b/>
        </w:rPr>
        <w:t xml:space="preserve">bridge-user facilitation</w:t>
      </w:r>
      <w:r>
        <w:t xml:space="preserve"> </w:t>
      </w:r>
      <w:r>
        <w:t xml:space="preserve">— structural incentives for users who participate across thematic and epistemic communities — could help integrate the deliberative silos our network analysis identifies.</w:t>
      </w:r>
    </w:p>
    <w:p>
      <w:pPr>
        <w:pStyle w:val="BodyText"/>
      </w:pPr>
      <w:r>
        <w:t xml:space="preserve">These design implications are, however, partial responses to what we have argued is a constitutive dilemma. No platform design can fully resolve the tension between participatory openness and policy coherence in a party with epistemically diverse membership. Acknowledging this is, perhaps, the most honest contribution scholarship can make to the digital party democracy project.</w:t>
      </w:r>
    </w:p>
    <w:p>
      <w:r>
        <w:pict>
          <v:rect style="width:0;height:1.5pt" o:hralign="center" o:hrstd="t" o:hr="t"/>
        </w:pict>
      </w:r>
    </w:p>
    <w:bookmarkEnd w:id="37"/>
    <w:bookmarkEnd w:id="38"/>
    <w:bookmarkStart w:id="39" w:name="conclusion"/>
    <w:p>
      <w:pPr>
        <w:pStyle w:val="Heading2"/>
      </w:pPr>
      <w:r>
        <w:t xml:space="preserve">6. Conclusion</w:t>
      </w:r>
    </w:p>
    <w:p>
      <w:pPr>
        <w:pStyle w:val="FirstParagraph"/>
      </w:pPr>
      <w:r>
        <w:t xml:space="preserve">This paper has examined a decade of digital intra-party democracy in Alternativet’s proposal platform, combining netnographic observation, qualitative frame analysis, longitudinal engagement analysis, and co-participation network analysis. The resulting picture is more complex than either the optimistic account (digital platforms enabling genuine grassroots democracy) or the pessimistic account (digital platforms as legitimacy theatre for elite control).</w:t>
      </w:r>
    </w:p>
    <w:p>
      <w:pPr>
        <w:pStyle w:val="BodyText"/>
      </w:pPr>
      <w:r>
        <w:t xml:space="preserve">We have shown that Alternativet’s platform produced genuine participatory energy in its founding phase — 260 proposals in two years, covering the full breadth of the party’s political agenda — followed by structural disengagement attributable to pipeline opacity and the absence of feedback loops. The thematic distribution of proposals is broadly coherent with the party’s identity, but specific political silences (migration, integration) reveal topics that the grassroots process systematically excludes. Frame analysis reveals four legitimation strategies, of which the heterodox type — rare but high-engagement — generates a structural tension between democratic vitality and policy coherence. Network analysis demonstrates that heterodox engagement is structurally enclave-like: 59% of heterodox participants are isolated from mainstream deliberation, forming a parallel epistemic community within the platform.</w:t>
      </w:r>
    </w:p>
    <w:p>
      <w:pPr>
        <w:pStyle w:val="BodyText"/>
      </w:pPr>
      <w:r>
        <w:t xml:space="preserve">The</w:t>
      </w:r>
      <w:r>
        <w:t xml:space="preserve"> </w:t>
      </w:r>
      <w:r>
        <w:rPr>
          <w:bCs/>
          <w:b/>
        </w:rPr>
        <w:t xml:space="preserve">formalization dilemma</w:t>
      </w:r>
      <w:r>
        <w:t xml:space="preserve"> </w:t>
      </w:r>
      <w:r>
        <w:t xml:space="preserve">concept we introduce synthesizes these findings into a theoretical contribution applicable beyond Alternativet: any movement party that attempts to institutionalize participatory democracy in a digitally mediated context faces the structural tension between making participation consequential (requiring formalization) and making it genuinely open (tolerating epistemic diversity). This dilemma cannot be resolved by platform design; it must be politically acknowledged and organizationally managed.</w:t>
      </w:r>
    </w:p>
    <w:p>
      <w:pPr>
        <w:pStyle w:val="BodyText"/>
      </w:pPr>
      <w:r>
        <w:t xml:space="preserve">Future research should examine: (1) whether formal proposals demonstrably influence Alternativet’s official policy positions, a causal relationship our data cannot directly test; (2) the social profile of active proposers and whether digital participation in the pipeline reproduces or reduces existing demographic inequalities in party engagement; and (3) comparative analysis across movement party platforms in different national contexts to assess the generalizability of the formalization dilemma.</w:t>
      </w:r>
    </w:p>
    <w:p>
      <w:r>
        <w:pict>
          <v:rect style="width:0;height:1.5pt" o:hralign="center" o:hrstd="t" o:hr="t"/>
        </w:pict>
      </w:r>
    </w:p>
    <w:bookmarkEnd w:id="39"/>
    <w:bookmarkStart w:id="40" w:name="acknowledgements"/>
    <w:p>
      <w:pPr>
        <w:pStyle w:val="Heading2"/>
      </w:pPr>
      <w:r>
        <w:t xml:space="preserve">Acknowledgements</w:t>
      </w:r>
    </w:p>
    <w:p>
      <w:pPr>
        <w:pStyle w:val="FirstParagraph"/>
      </w:pPr>
      <w:r>
        <w:t xml:space="preserve">[Blinded for peer review]</w:t>
      </w:r>
    </w:p>
    <w:bookmarkEnd w:id="40"/>
    <w:bookmarkStart w:id="41" w:name="disclosure-statement"/>
    <w:p>
      <w:pPr>
        <w:pStyle w:val="Heading2"/>
      </w:pPr>
      <w:r>
        <w:t xml:space="preserve">Disclosure Statement</w:t>
      </w:r>
    </w:p>
    <w:p>
      <w:pPr>
        <w:pStyle w:val="FirstParagraph"/>
      </w:pPr>
      <w:r>
        <w:t xml:space="preserve">The authors report no conflicts of interest.</w:t>
      </w:r>
    </w:p>
    <w:bookmarkEnd w:id="41"/>
    <w:bookmarkStart w:id="42" w:name="data-availability"/>
    <w:p>
      <w:pPr>
        <w:pStyle w:val="Heading2"/>
      </w:pPr>
      <w:r>
        <w:t xml:space="preserve">Data Availability</w:t>
      </w:r>
    </w:p>
    <w:p>
      <w:pPr>
        <w:pStyle w:val="FirstParagraph"/>
      </w:pPr>
      <w:r>
        <w:t xml:space="preserve">All data were collected from the publicly accessible Discourse API at dialog.alternativet.dk. Collection scripts, anonymized topic metadata, and replication materials are available at [repository URL blinded for review].</w:t>
      </w:r>
    </w:p>
    <w:p>
      <w:r>
        <w:pict>
          <v:rect style="width:0;height:1.5pt" o:hralign="center" o:hrstd="t" o:hr="t"/>
        </w:pict>
      </w:r>
    </w:p>
    <w:bookmarkEnd w:id="42"/>
    <w:bookmarkStart w:id="43" w:name="references"/>
    <w:p>
      <w:pPr>
        <w:pStyle w:val="Heading2"/>
      </w:pPr>
      <w:r>
        <w:t xml:space="preserve">References</w:t>
      </w:r>
    </w:p>
    <w:p>
      <w:pPr>
        <w:pStyle w:val="FirstParagraph"/>
      </w:pPr>
      <w:r>
        <w:t xml:space="preserve">Bail, C. A., Argyle, L. P., Brown, T. W., Bumpus, J. P., Chen, H., Hunzaker, M. B. F., Lee, J., Mann, M., Merhout, F., &amp; Volfovsky, A. (2018). Exposure to opposing views on social media can increase political polarization.</w:t>
      </w:r>
      <w:r>
        <w:t xml:space="preserve"> </w:t>
      </w:r>
      <w:r>
        <w:rPr>
          <w:iCs/>
          <w:i/>
        </w:rPr>
        <w:t xml:space="preserve">Proceedings of the National Academy of Sciences</w:t>
      </w:r>
      <w:r>
        <w:t xml:space="preserve">, 115(37), 9216–9221. https://doi.org/10.1073/pnas.1804840115</w:t>
      </w:r>
    </w:p>
    <w:p>
      <w:pPr>
        <w:pStyle w:val="BodyText"/>
      </w:pPr>
      <w:r>
        <w:t xml:space="preserve">Bakshy, E., Rosenn, I., Marlow, C., &amp; Adamic, L. (2012). The role of social networks in information diffusion. In</w:t>
      </w:r>
      <w:r>
        <w:t xml:space="preserve"> </w:t>
      </w:r>
      <w:r>
        <w:rPr>
          <w:iCs/>
          <w:i/>
        </w:rPr>
        <w:t xml:space="preserve">Proceedings of the 21st International Conference on World Wide Web</w:t>
      </w:r>
      <w:r>
        <w:t xml:space="preserve"> </w:t>
      </w:r>
      <w:r>
        <w:t xml:space="preserve">(pp. 519–528). ACM.</w:t>
      </w:r>
    </w:p>
    <w:p>
      <w:pPr>
        <w:pStyle w:val="BodyText"/>
      </w:pPr>
      <w:r>
        <w:t xml:space="preserve">Bang Carlsen, H., Toubøl, J., &amp; Albris, K. (2023). Ukrainian refugee solidarity mobilization online.</w:t>
      </w:r>
      <w:r>
        <w:t xml:space="preserve"> </w:t>
      </w:r>
      <w:r>
        <w:rPr>
          <w:iCs/>
          <w:i/>
        </w:rPr>
        <w:t xml:space="preserve">European Societies</w:t>
      </w:r>
      <w:r>
        <w:t xml:space="preserve">, 25(5), 745–756. https://doi.org/10.1080/14616696.2023.2177704</w:t>
      </w:r>
    </w:p>
    <w:p>
      <w:pPr>
        <w:pStyle w:val="BodyText"/>
      </w:pPr>
      <w:r>
        <w:t xml:space="preserve">Blok, A., Bang Carlsen, H., &amp; Albris, K. (2022).</w:t>
      </w:r>
      <w:r>
        <w:t xml:space="preserve"> </w:t>
      </w:r>
      <w:r>
        <w:rPr>
          <w:iCs/>
          <w:i/>
        </w:rPr>
        <w:t xml:space="preserve">How to conduct quali-quantitative digital methods research</w:t>
      </w:r>
      <w:r>
        <w:t xml:space="preserve">. SAGE.</w:t>
      </w:r>
    </w:p>
    <w:p>
      <w:pPr>
        <w:pStyle w:val="BodyText"/>
      </w:pPr>
      <w:r>
        <w:t xml:space="preserve">Bolleyer, N. (2013).</w:t>
      </w:r>
      <w:r>
        <w:t xml:space="preserve"> </w:t>
      </w:r>
      <w:r>
        <w:rPr>
          <w:iCs/>
          <w:i/>
        </w:rPr>
        <w:t xml:space="preserve">New parties in old party systems: Persistence and decline in seventeen democracies</w:t>
      </w:r>
      <w:r>
        <w:t xml:space="preserve">. Oxford University Press.</w:t>
      </w:r>
    </w:p>
    <w:p>
      <w:pPr>
        <w:pStyle w:val="BodyText"/>
      </w:pPr>
      <w:r>
        <w:t xml:space="preserve">Cherepnalkoski, D., &amp; Mozetič, I. (2016). Retweet networks of the European parliament Twitter accounts.</w:t>
      </w:r>
      <w:r>
        <w:t xml:space="preserve"> </w:t>
      </w:r>
      <w:r>
        <w:rPr>
          <w:iCs/>
          <w:i/>
        </w:rPr>
        <w:t xml:space="preserve">PLOS ONE</w:t>
      </w:r>
      <w:r>
        <w:t xml:space="preserve">, 11(8). https://doi.org/10.1371/journal.pone.0158726</w:t>
      </w:r>
    </w:p>
    <w:p>
      <w:pPr>
        <w:pStyle w:val="BodyText"/>
      </w:pPr>
      <w:r>
        <w:t xml:space="preserve">Conover, M. D., Ratkiewicz, J., Francisco, M., Gonçalves, B., Menczer, F., &amp; Flammini, A. (2011). Political polarization on Twitter. In</w:t>
      </w:r>
      <w:r>
        <w:t xml:space="preserve"> </w:t>
      </w:r>
      <w:r>
        <w:rPr>
          <w:iCs/>
          <w:i/>
        </w:rPr>
        <w:t xml:space="preserve">Proceedings of the 5th International AAAI Conference on Weblogs and Social Media</w:t>
      </w:r>
      <w:r>
        <w:t xml:space="preserve"> </w:t>
      </w:r>
      <w:r>
        <w:t xml:space="preserve">(pp. 89–96).</w:t>
      </w:r>
    </w:p>
    <w:p>
      <w:pPr>
        <w:pStyle w:val="BodyText"/>
      </w:pPr>
      <w:r>
        <w:t xml:space="preserve">Dencik, L., &amp; Allan, S. (2017). In/visible conflicts: NGOs and the politics of digital journalism.</w:t>
      </w:r>
      <w:r>
        <w:t xml:space="preserve"> </w:t>
      </w:r>
      <w:r>
        <w:rPr>
          <w:iCs/>
          <w:i/>
        </w:rPr>
        <w:t xml:space="preserve">Media, Culture &amp; Society</w:t>
      </w:r>
      <w:r>
        <w:t xml:space="preserve">, 39(8), 1077–1094.</w:t>
      </w:r>
    </w:p>
    <w:p>
      <w:pPr>
        <w:pStyle w:val="BodyText"/>
      </w:pPr>
      <w:r>
        <w:t xml:space="preserve">Deseriis, M. (2020). Technopopulism: The emergence of a discursive formation.</w:t>
      </w:r>
      <w:r>
        <w:t xml:space="preserve"> </w:t>
      </w:r>
      <w:r>
        <w:rPr>
          <w:iCs/>
          <w:i/>
        </w:rPr>
        <w:t xml:space="preserve">tripleC</w:t>
      </w:r>
      <w:r>
        <w:t xml:space="preserve">, 18(1), 440–461.</w:t>
      </w:r>
    </w:p>
    <w:p>
      <w:pPr>
        <w:pStyle w:val="BodyText"/>
      </w:pPr>
      <w:r>
        <w:t xml:space="preserve">Fowler, J. H. (2006). Connecting the Congress: A study of cosponsorship networks.</w:t>
      </w:r>
      <w:r>
        <w:t xml:space="preserve"> </w:t>
      </w:r>
      <w:r>
        <w:rPr>
          <w:iCs/>
          <w:i/>
        </w:rPr>
        <w:t xml:space="preserve">Political Analysis</w:t>
      </w:r>
      <w:r>
        <w:t xml:space="preserve">, 14(4), 456–487.</w:t>
      </w:r>
    </w:p>
    <w:p>
      <w:pPr>
        <w:pStyle w:val="BodyText"/>
      </w:pPr>
      <w:r>
        <w:t xml:space="preserve">Gerbaudo, P. (2019).</w:t>
      </w:r>
      <w:r>
        <w:t xml:space="preserve"> </w:t>
      </w:r>
      <w:r>
        <w:rPr>
          <w:iCs/>
          <w:i/>
        </w:rPr>
        <w:t xml:space="preserve">The digital party: Political organisation and online democracy</w:t>
      </w:r>
      <w:r>
        <w:t xml:space="preserve">. Pluto Press.</w:t>
      </w:r>
    </w:p>
    <w:p>
      <w:pPr>
        <w:pStyle w:val="BodyText"/>
      </w:pPr>
      <w:r>
        <w:t xml:space="preserve">Gerbaudo, P., &amp; Screti, F. (2017). Reclaiming popular sovereignty: The vision of the polity in the discourse of Podemos and the Movimento 5 Stelle.</w:t>
      </w:r>
      <w:r>
        <w:t xml:space="preserve"> </w:t>
      </w:r>
      <w:r>
        <w:rPr>
          <w:iCs/>
          <w:i/>
        </w:rPr>
        <w:t xml:space="preserve">Javnost – The Public</w:t>
      </w:r>
      <w:r>
        <w:t xml:space="preserve">, 24(4), 320–335.</w:t>
      </w:r>
    </w:p>
    <w:p>
      <w:pPr>
        <w:pStyle w:val="BodyText"/>
      </w:pPr>
      <w:r>
        <w:t xml:space="preserve">Kefford, G. (2021). Digital parties and their members: Lessons from Australian cases.</w:t>
      </w:r>
      <w:r>
        <w:t xml:space="preserve"> </w:t>
      </w:r>
      <w:r>
        <w:rPr>
          <w:iCs/>
          <w:i/>
        </w:rPr>
        <w:t xml:space="preserve">Party Politics</w:t>
      </w:r>
      <w:r>
        <w:t xml:space="preserve">, 27(4), 636–647.</w:t>
      </w:r>
    </w:p>
    <w:p>
      <w:pPr>
        <w:pStyle w:val="BodyText"/>
      </w:pPr>
      <w:r>
        <w:t xml:space="preserve">Kitschelt, H. (2006). Movement parties. In R. S. Katz &amp; W. Crotty (Eds.),</w:t>
      </w:r>
      <w:r>
        <w:t xml:space="preserve"> </w:t>
      </w:r>
      <w:r>
        <w:rPr>
          <w:iCs/>
          <w:i/>
        </w:rPr>
        <w:t xml:space="preserve">Handbook of party politics</w:t>
      </w:r>
      <w:r>
        <w:t xml:space="preserve"> </w:t>
      </w:r>
      <w:r>
        <w:t xml:space="preserve">(pp. 278–290). SAGE.</w:t>
      </w:r>
    </w:p>
    <w:p>
      <w:pPr>
        <w:pStyle w:val="BodyText"/>
      </w:pPr>
      <w:r>
        <w:t xml:space="preserve">Kozinets, R. V. (2020).</w:t>
      </w:r>
      <w:r>
        <w:t xml:space="preserve"> </w:t>
      </w:r>
      <w:r>
        <w:rPr>
          <w:iCs/>
          <w:i/>
        </w:rPr>
        <w:t xml:space="preserve">Netnography: The essential guide to qualitative social media research</w:t>
      </w:r>
      <w:r>
        <w:t xml:space="preserve"> </w:t>
      </w:r>
      <w:r>
        <w:t xml:space="preserve">(3rd ed.). SAGE.</w:t>
      </w:r>
    </w:p>
    <w:p>
      <w:pPr>
        <w:pStyle w:val="BodyText"/>
      </w:pPr>
      <w:r>
        <w:t xml:space="preserve">MacQueen, K. M., McLellan, E., Kay, K., &amp; Milstein, B. (1998). Codebook development for team-based qualitative analysis.</w:t>
      </w:r>
      <w:r>
        <w:t xml:space="preserve"> </w:t>
      </w:r>
      <w:r>
        <w:rPr>
          <w:iCs/>
          <w:i/>
        </w:rPr>
        <w:t xml:space="preserve">CAM Journal</w:t>
      </w:r>
      <w:r>
        <w:t xml:space="preserve">, 10(2), 31–36.</w:t>
      </w:r>
    </w:p>
    <w:p>
      <w:pPr>
        <w:pStyle w:val="BodyText"/>
      </w:pPr>
      <w:r>
        <w:t xml:space="preserve">Michels, R. (1911/1962).</w:t>
      </w:r>
      <w:r>
        <w:t xml:space="preserve"> </w:t>
      </w:r>
      <w:r>
        <w:rPr>
          <w:iCs/>
          <w:i/>
        </w:rPr>
        <w:t xml:space="preserve">Political parties: A sociological study of the oligarchical tendencies of modern democracy</w:t>
      </w:r>
      <w:r>
        <w:t xml:space="preserve">. Free Press.</w:t>
      </w:r>
    </w:p>
    <w:p>
      <w:pPr>
        <w:pStyle w:val="BodyText"/>
      </w:pPr>
      <w:r>
        <w:t xml:space="preserve">Norris, P. (2002).</w:t>
      </w:r>
      <w:r>
        <w:t xml:space="preserve"> </w:t>
      </w:r>
      <w:r>
        <w:rPr>
          <w:iCs/>
          <w:i/>
        </w:rPr>
        <w:t xml:space="preserve">Democratic phoenix: Reinventing political activism</w:t>
      </w:r>
      <w:r>
        <w:t xml:space="preserve">. Cambridge University Press.</w:t>
      </w:r>
    </w:p>
    <w:p>
      <w:pPr>
        <w:pStyle w:val="BodyText"/>
      </w:pPr>
      <w:r>
        <w:t xml:space="preserve">Patton, M. Q. (2002).</w:t>
      </w:r>
      <w:r>
        <w:t xml:space="preserve"> </w:t>
      </w:r>
      <w:r>
        <w:rPr>
          <w:iCs/>
          <w:i/>
        </w:rPr>
        <w:t xml:space="preserve">Qualitative research and evaluation methods</w:t>
      </w:r>
      <w:r>
        <w:t xml:space="preserve"> </w:t>
      </w:r>
      <w:r>
        <w:t xml:space="preserve">(3rd ed.). SAGE.</w:t>
      </w:r>
    </w:p>
    <w:p>
      <w:pPr>
        <w:pStyle w:val="BodyText"/>
      </w:pPr>
      <w:r>
        <w:t xml:space="preserve">Rogers, R. (2013).</w:t>
      </w:r>
      <w:r>
        <w:t xml:space="preserve"> </w:t>
      </w:r>
      <w:r>
        <w:rPr>
          <w:iCs/>
          <w:i/>
        </w:rPr>
        <w:t xml:space="preserve">Digital methods</w:t>
      </w:r>
      <w:r>
        <w:t xml:space="preserve">. MIT Press.</w:t>
      </w:r>
    </w:p>
    <w:p>
      <w:pPr>
        <w:pStyle w:val="BodyText"/>
      </w:pPr>
      <w:r>
        <w:t xml:space="preserve">Small, M. L. (2011). How to conduct a mixed methods study: Recent trends in a rapidly growing literature.</w:t>
      </w:r>
      <w:r>
        <w:t xml:space="preserve"> </w:t>
      </w:r>
      <w:r>
        <w:rPr>
          <w:iCs/>
          <w:i/>
        </w:rPr>
        <w:t xml:space="preserve">Annual Review of Sociology</w:t>
      </w:r>
      <w:r>
        <w:t xml:space="preserve">, 37, 57–86.</w:t>
      </w:r>
    </w:p>
    <w:p>
      <w:pPr>
        <w:pStyle w:val="BodyText"/>
      </w:pPr>
      <w:r>
        <w:t xml:space="preserve">Snow, D. A., &amp; Benford, R. D. (1988). Ideology, frame resonance, and participant mobilization.</w:t>
      </w:r>
      <w:r>
        <w:t xml:space="preserve"> </w:t>
      </w:r>
      <w:r>
        <w:rPr>
          <w:iCs/>
          <w:i/>
        </w:rPr>
        <w:t xml:space="preserve">International Social Movement Research</w:t>
      </w:r>
      <w:r>
        <w:t xml:space="preserve">, 1, 197–217.</w:t>
      </w:r>
    </w:p>
    <w:p>
      <w:pPr>
        <w:pStyle w:val="BodyText"/>
      </w:pPr>
      <w:r>
        <w:t xml:space="preserve">Sunstein, C. R. (2017).</w:t>
      </w:r>
      <w:r>
        <w:t xml:space="preserve"> </w:t>
      </w:r>
      <w:r>
        <w:rPr>
          <w:iCs/>
          <w:i/>
        </w:rPr>
        <w:t xml:space="preserve">#Republic: Divided democracy in the age of social media</w:t>
      </w:r>
      <w:r>
        <w:t xml:space="preserve">. Princeton University Press.</w:t>
      </w:r>
    </w:p>
    <w:p>
      <w:pPr>
        <w:pStyle w:val="BodyText"/>
      </w:pPr>
      <w:r>
        <w:t xml:space="preserve">Timmermans, S., &amp; Tavory, I. (2022).</w:t>
      </w:r>
      <w:r>
        <w:t xml:space="preserve"> </w:t>
      </w:r>
      <w:r>
        <w:rPr>
          <w:iCs/>
          <w:i/>
        </w:rPr>
        <w:t xml:space="preserve">Data analysis in qualitative research: Theorizing with abductive analysis</w:t>
      </w:r>
      <w:r>
        <w:t xml:space="preserve">. University of Chicago Press.</w:t>
      </w:r>
    </w:p>
    <w:p>
      <w:pPr>
        <w:pStyle w:val="BodyText"/>
      </w:pPr>
      <w:r>
        <w:t xml:space="preserve">Törnberg, P. (2024). Best practices for text annotation with large language models.</w:t>
      </w:r>
      <w:r>
        <w:t xml:space="preserve"> </w:t>
      </w:r>
      <w:r>
        <w:rPr>
          <w:iCs/>
          <w:i/>
        </w:rPr>
        <w:t xml:space="preserve">Sociologica</w:t>
      </w:r>
      <w:r>
        <w:t xml:space="preserve">, 18(2). https://sociologica.unibo.it/article/view/19461</w:t>
      </w:r>
    </w:p>
    <w:p>
      <w:pPr>
        <w:pStyle w:val="BodyText"/>
      </w:pPr>
      <w:r>
        <w:t xml:space="preserve">Venturini, T., Jacomy, M., &amp; Jensen, P. (2021). What do we see when we look at networks: Visual network analysis, relational ambiguity, and force-directed layouts.</w:t>
      </w:r>
      <w:r>
        <w:t xml:space="preserve"> </w:t>
      </w:r>
      <w:r>
        <w:rPr>
          <w:iCs/>
          <w:i/>
        </w:rPr>
        <w:t xml:space="preserve">Big Data &amp; Society</w:t>
      </w:r>
      <w:r>
        <w:t xml:space="preserve">, 8(1). https://doi.org/10.1177/20539517211018488</w:t>
      </w:r>
    </w:p>
    <w:bookmarkEnd w:id="43"/>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2026-03-21T09:09:34Z</dcterms:created>
  <dcterms:modified xsi:type="dcterms:W3CDTF">2026-03-21T09:09:34Z</dcterms:modified>
</cp:coreProperties>
</file>

<file path=docProps/custom.xml><?xml version="1.0" encoding="utf-8"?>
<Properties xmlns="http://schemas.openxmlformats.org/officeDocument/2006/custom-properties" xmlns:vt="http://schemas.openxmlformats.org/officeDocument/2006/docPropsVTypes"/>
</file>