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541 Computer Vision</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8</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Number 7: Identification of lower extremity injuries from jump-landings videos: A Deep Learning Approach</w:t>
      </w:r>
    </w:p>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w:t>
      </w:r>
    </w:p>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Report</w:t>
      </w:r>
    </w:p>
    <w:p w:rsidR="00000000" w:rsidDel="00000000" w:rsidP="00000000" w:rsidRDefault="00000000" w:rsidRPr="00000000" w14:paraId="00000007">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sports demand rapid high-intensity movements requiring exceptional physical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stamina and flexibility. Prolonged high-intensity repetitive exercises and asymmetric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postures increase the risk of injuries in athletes. This increased risk is attributed to altered or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neuromuscular control during sports movements, leading to changes in lower limb joint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mechanics, including motions and loads. Landing is one such frequent movement in a sport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basketball.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necessary to annotate images according to the error classes in order to train the model. Roboflow performs the task of annotating images according to errors in the image. Initially we made six classes in roboflow depicting the error classes. Six classes were lateral flexion right, lateral flexion left, lateral flexion normal, stance width broad, stance width narrow, stance width normal. The csv file consisting of several error classes for every image was made after determining the error through mediapipe pose. Then taking the reference of that file, various images were annotated. Two bounding boxes were made. One for lateral flexion angle covering the whole body and another for stance width ratio capturing the image between shoulders and ankle. Thus, 210 images were annotated having appropriate error class.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