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8.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A4B42C">
      <w:pPr>
        <w:spacing w:line="240" w:lineRule="auto"/>
        <w:jc w:val="both"/>
        <w:rPr>
          <w:rFonts w:ascii="Times New Roman" w:hAnsi="Times New Roman" w:cs="Times New Roman"/>
          <w:b/>
          <w:sz w:val="28"/>
          <w:szCs w:val="28"/>
        </w:rPr>
      </w:pPr>
    </w:p>
    <w:p w14:paraId="0B9ECA24">
      <w:pPr>
        <w:spacing w:line="240" w:lineRule="auto"/>
        <w:jc w:val="center"/>
        <w:rPr>
          <w:rFonts w:ascii="Times New Roman" w:hAnsi="Times New Roman" w:cs="Times New Roman"/>
          <w:b/>
          <w:sz w:val="28"/>
          <w:szCs w:val="28"/>
        </w:rPr>
      </w:pPr>
    </w:p>
    <w:p w14:paraId="673CDFCB">
      <w:pPr>
        <w:spacing w:line="240" w:lineRule="auto"/>
        <w:jc w:val="center"/>
        <w:rPr>
          <w:rFonts w:ascii="Times New Roman" w:hAnsi="Times New Roman" w:cs="Times New Roman"/>
          <w:b/>
          <w:sz w:val="36"/>
          <w:szCs w:val="36"/>
        </w:rPr>
      </w:pPr>
      <w:r>
        <w:rPr>
          <w:rFonts w:ascii="Times New Roman" w:hAnsi="Times New Roman" w:cs="Times New Roman"/>
          <w:b/>
          <w:sz w:val="36"/>
          <w:szCs w:val="36"/>
        </w:rPr>
        <w:t>Supplementary Materials</w:t>
      </w:r>
    </w:p>
    <w:p w14:paraId="4CAD856C">
      <w:pPr>
        <w:spacing w:line="240" w:lineRule="auto"/>
        <w:jc w:val="center"/>
        <w:rPr>
          <w:rFonts w:ascii="Times New Roman" w:hAnsi="Times New Roman" w:cs="Times New Roman"/>
          <w:b/>
          <w:sz w:val="36"/>
          <w:szCs w:val="36"/>
        </w:rPr>
      </w:pPr>
    </w:p>
    <w:p w14:paraId="4F745029">
      <w:pPr>
        <w:spacing w:line="240" w:lineRule="auto"/>
        <w:jc w:val="center"/>
        <w:rPr>
          <w:rFonts w:ascii="Times New Roman" w:hAnsi="Times New Roman" w:cs="Times New Roman"/>
          <w:b/>
          <w:sz w:val="36"/>
          <w:szCs w:val="36"/>
        </w:rPr>
      </w:pPr>
    </w:p>
    <w:p w14:paraId="12C2479E">
      <w:pPr>
        <w:spacing w:line="360" w:lineRule="auto"/>
        <w:jc w:val="both"/>
        <w:rPr>
          <w:rFonts w:ascii="Times New Roman" w:hAnsi="Times New Roman" w:cs="Times New Roman"/>
          <w:b/>
          <w:sz w:val="32"/>
          <w:szCs w:val="32"/>
        </w:rPr>
      </w:pPr>
    </w:p>
    <w:p w14:paraId="58EC7FF0">
      <w:pPr>
        <w:spacing w:line="360" w:lineRule="auto"/>
        <w:ind w:firstLine="320" w:firstLineChars="100"/>
        <w:jc w:val="center"/>
        <w:rPr>
          <w:rFonts w:ascii="Times New Roman" w:hAnsi="Times New Roman" w:cs="Times New Roman"/>
          <w:b/>
          <w:sz w:val="32"/>
          <w:szCs w:val="32"/>
        </w:rPr>
      </w:pPr>
      <w:r>
        <w:rPr>
          <w:rFonts w:ascii="Times New Roman" w:hAnsi="Times New Roman" w:cs="Times New Roman"/>
          <w:b/>
          <w:sz w:val="32"/>
          <w:szCs w:val="32"/>
          <w:lang w:val="en-US" w:eastAsia="zh-CN"/>
        </w:rPr>
        <w:t xml:space="preserve">AlloFusion: Allosteric Site Prediction Based </w:t>
      </w:r>
      <w:r>
        <w:rPr>
          <w:rFonts w:hint="default" w:ascii="Times New Roman" w:hAnsi="Times New Roman" w:cs="Times New Roman"/>
          <w:b/>
          <w:sz w:val="32"/>
          <w:szCs w:val="32"/>
          <w:lang w:val="en-US" w:eastAsia="zh-CN"/>
        </w:rPr>
        <w:t xml:space="preserve">on Language </w:t>
      </w:r>
      <w:r>
        <w:rPr>
          <w:rFonts w:hint="eastAsia" w:ascii="Times New Roman" w:hAnsi="Times New Roman" w:cs="Times New Roman"/>
          <w:b/>
          <w:sz w:val="32"/>
          <w:szCs w:val="32"/>
          <w:lang w:val="en-US" w:eastAsia="zh-CN"/>
        </w:rPr>
        <w:tab/>
      </w:r>
      <w:r>
        <w:rPr>
          <w:rFonts w:hint="default" w:ascii="Times New Roman" w:hAnsi="Times New Roman" w:cs="Times New Roman"/>
          <w:b/>
          <w:sz w:val="32"/>
          <w:szCs w:val="32"/>
          <w:lang w:val="en-US" w:eastAsia="zh-CN"/>
        </w:rPr>
        <w:t>Models and Multi-Feature Fusion</w:t>
      </w:r>
    </w:p>
    <w:p w14:paraId="2D9D5479">
      <w:pPr>
        <w:spacing w:line="360" w:lineRule="auto"/>
        <w:jc w:val="center"/>
        <w:rPr>
          <w:rFonts w:ascii="Times New Roman" w:hAnsi="Times New Roman" w:cs="Times New Roman"/>
        </w:rPr>
      </w:pPr>
    </w:p>
    <w:p w14:paraId="07BE6054">
      <w:pPr>
        <w:spacing w:line="360" w:lineRule="auto"/>
        <w:jc w:val="center"/>
        <w:rPr>
          <w:rFonts w:ascii="Times New Roman" w:hAnsi="Times New Roman" w:cs="Times New Roman"/>
          <w:b/>
        </w:rPr>
      </w:pPr>
      <w:r>
        <w:rPr>
          <w:rFonts w:ascii="Times New Roman" w:hAnsi="Times New Roman" w:cs="Times New Roman"/>
          <w:b/>
        </w:rPr>
        <w:t>Burak T. Kaynak</w:t>
      </w:r>
      <w:r>
        <w:rPr>
          <w:rFonts w:ascii="Times New Roman" w:hAnsi="Times New Roman" w:cs="Times New Roman"/>
          <w:b/>
          <w:vertAlign w:val="superscript"/>
        </w:rPr>
        <w:t>†‡</w:t>
      </w:r>
      <w:r>
        <w:rPr>
          <w:rFonts w:ascii="Times New Roman" w:hAnsi="Times New Roman" w:cs="Times New Roman"/>
          <w:b/>
        </w:rPr>
        <w:t>, Ivet Bahar</w:t>
      </w:r>
      <w:r>
        <w:rPr>
          <w:rFonts w:ascii="Times New Roman" w:hAnsi="Times New Roman" w:cs="Times New Roman"/>
          <w:b/>
          <w:vertAlign w:val="superscript"/>
        </w:rPr>
        <w:t>†‡</w:t>
      </w:r>
      <w:r>
        <w:rPr>
          <w:rFonts w:ascii="Times New Roman" w:hAnsi="Times New Roman" w:cs="Times New Roman"/>
          <w:b/>
        </w:rPr>
        <w:t xml:space="preserve"> and Pemra Doruker</w:t>
      </w:r>
      <w:r>
        <w:rPr>
          <w:rFonts w:ascii="Times New Roman" w:hAnsi="Times New Roman" w:cs="Times New Roman"/>
          <w:b/>
          <w:vertAlign w:val="superscript"/>
        </w:rPr>
        <w:t>†</w:t>
      </w:r>
    </w:p>
    <w:p w14:paraId="751A1D5E">
      <w:pPr>
        <w:jc w:val="center"/>
        <w:rPr>
          <w:rFonts w:ascii="Times New Roman" w:hAnsi="Times New Roman" w:cs="Times New Roman"/>
          <w:i/>
          <w:iCs/>
        </w:rPr>
      </w:pPr>
      <w:r>
        <w:rPr>
          <w:rFonts w:ascii="Times New Roman" w:hAnsi="Times New Roman" w:cs="Times New Roman"/>
          <w:i/>
          <w:iCs/>
          <w:vertAlign w:val="superscript"/>
        </w:rPr>
        <w:t>†</w:t>
      </w:r>
      <w:r>
        <w:rPr>
          <w:rFonts w:ascii="Times New Roman" w:hAnsi="Times New Roman" w:cs="Times New Roman"/>
          <w:i/>
          <w:iCs/>
        </w:rPr>
        <w:t>Department of Computational and Systems Biology, School of Medicine, University of Pittsburgh, Pittsburgh, PA 15232</w:t>
      </w:r>
    </w:p>
    <w:p w14:paraId="05E59F81">
      <w:pPr>
        <w:spacing w:line="360" w:lineRule="auto"/>
        <w:jc w:val="center"/>
        <w:rPr>
          <w:rFonts w:ascii="Times New Roman" w:hAnsi="Times New Roman" w:cs="Times New Roman"/>
        </w:rPr>
      </w:pPr>
      <w:r>
        <w:rPr>
          <w:rFonts w:ascii="Times New Roman" w:hAnsi="Times New Roman" w:cs="Times New Roman"/>
          <w:vertAlign w:val="superscript"/>
        </w:rPr>
        <w:t>‡</w:t>
      </w:r>
      <w:r>
        <w:rPr>
          <w:rFonts w:ascii="Times New Roman" w:hAnsi="Times New Roman" w:cs="Times New Roman"/>
        </w:rPr>
        <w:t xml:space="preserve">Corresponding authors: </w:t>
      </w:r>
      <w:r>
        <w:fldChar w:fldCharType="begin"/>
      </w:r>
      <w:r>
        <w:instrText xml:space="preserve"> HYPERLINK "mailto:bahar@pitt.edu" </w:instrText>
      </w:r>
      <w:r>
        <w:fldChar w:fldCharType="separate"/>
      </w:r>
      <w:r>
        <w:rPr>
          <w:rStyle w:val="13"/>
        </w:rPr>
        <w:t>bahar@pitt.edu</w:t>
      </w:r>
      <w:r>
        <w:rPr>
          <w:rStyle w:val="13"/>
        </w:rPr>
        <w:fldChar w:fldCharType="end"/>
      </w:r>
      <w:r>
        <w:rPr>
          <w:rFonts w:ascii="Times New Roman" w:hAnsi="Times New Roman" w:cs="Times New Roman"/>
        </w:rPr>
        <w:t xml:space="preserve"> and </w:t>
      </w:r>
      <w:r>
        <w:fldChar w:fldCharType="begin"/>
      </w:r>
      <w:r>
        <w:instrText xml:space="preserve"> HYPERLINK "mailto:burak.kaynak@pitt.edu" </w:instrText>
      </w:r>
      <w:r>
        <w:fldChar w:fldCharType="separate"/>
      </w:r>
      <w:r>
        <w:rPr>
          <w:rStyle w:val="13"/>
          <w:rFonts w:ascii="Times New Roman" w:hAnsi="Times New Roman" w:cs="Times New Roman"/>
        </w:rPr>
        <w:t>burak.kaynak@pitt.edu</w:t>
      </w:r>
      <w:r>
        <w:rPr>
          <w:rStyle w:val="13"/>
          <w:rFonts w:ascii="Times New Roman" w:hAnsi="Times New Roman" w:cs="Times New Roman"/>
        </w:rPr>
        <w:fldChar w:fldCharType="end"/>
      </w:r>
    </w:p>
    <w:p w14:paraId="426FB874">
      <w:pPr>
        <w:rPr>
          <w:rFonts w:ascii="Times New Roman" w:hAnsi="Times New Roman" w:cs="Times New Roman"/>
          <w:bCs/>
          <w:sz w:val="24"/>
          <w:szCs w:val="24"/>
        </w:rPr>
      </w:pPr>
    </w:p>
    <w:p w14:paraId="613BA2E0">
      <w:pPr>
        <w:rPr>
          <w:rFonts w:hint="eastAsia" w:eastAsia="宋体"/>
          <w:lang w:val="en-US" w:eastAsia="zh-CN"/>
        </w:rPr>
      </w:pPr>
    </w:p>
    <w:p w14:paraId="189583A3">
      <w:pPr>
        <w:rPr>
          <w:rFonts w:hint="eastAsia" w:eastAsia="宋体"/>
          <w:lang w:val="en-US" w:eastAsia="zh-CN"/>
        </w:rPr>
      </w:pPr>
    </w:p>
    <w:p w14:paraId="2B9A168A">
      <w:pPr>
        <w:rPr>
          <w:rFonts w:hint="eastAsia" w:eastAsia="宋体"/>
          <w:lang w:val="en-US" w:eastAsia="zh-CN"/>
        </w:rPr>
      </w:pPr>
    </w:p>
    <w:p w14:paraId="38CEDFF4">
      <w:pPr>
        <w:rPr>
          <w:rFonts w:hint="eastAsia" w:eastAsia="宋体"/>
          <w:lang w:val="en-US" w:eastAsia="zh-CN"/>
        </w:rPr>
      </w:pPr>
    </w:p>
    <w:p w14:paraId="18E5D3FF">
      <w:pPr>
        <w:rPr>
          <w:rFonts w:hint="eastAsia" w:eastAsia="宋体"/>
          <w:lang w:val="en-US" w:eastAsia="zh-CN"/>
        </w:rPr>
      </w:pPr>
    </w:p>
    <w:p w14:paraId="2DBCFD6B">
      <w:pPr>
        <w:rPr>
          <w:rFonts w:hint="eastAsia" w:eastAsia="宋体"/>
          <w:lang w:val="en-US" w:eastAsia="zh-CN"/>
        </w:rPr>
      </w:pPr>
    </w:p>
    <w:p w14:paraId="4C6F9813">
      <w:pPr>
        <w:rPr>
          <w:rFonts w:hint="eastAsia" w:eastAsia="宋体"/>
          <w:lang w:val="en-US" w:eastAsia="zh-CN"/>
        </w:rPr>
      </w:pPr>
    </w:p>
    <w:p w14:paraId="7142029D">
      <w:pPr>
        <w:rPr>
          <w:rFonts w:hint="eastAsia" w:eastAsia="宋体"/>
          <w:lang w:val="en-US" w:eastAsia="zh-CN"/>
        </w:rPr>
      </w:pPr>
    </w:p>
    <w:p w14:paraId="35CDFC61">
      <w:pPr>
        <w:rPr>
          <w:rFonts w:hint="eastAsia" w:eastAsia="宋体"/>
          <w:lang w:val="en-US" w:eastAsia="zh-CN"/>
        </w:rPr>
      </w:pPr>
    </w:p>
    <w:p w14:paraId="4E96C73B">
      <w:pPr>
        <w:rPr>
          <w:rFonts w:hint="eastAsia" w:eastAsia="宋体"/>
          <w:lang w:val="en-US" w:eastAsia="zh-CN"/>
        </w:rPr>
      </w:pPr>
    </w:p>
    <w:p w14:paraId="06FC7F66">
      <w:pPr>
        <w:rPr>
          <w:rFonts w:hint="eastAsia" w:eastAsia="宋体"/>
          <w:lang w:val="en-US" w:eastAsia="zh-CN"/>
        </w:rPr>
      </w:pPr>
    </w:p>
    <w:p w14:paraId="2C941FD7">
      <w:pPr>
        <w:rPr>
          <w:rFonts w:hint="eastAsia" w:eastAsia="宋体"/>
          <w:lang w:val="en-US" w:eastAsia="zh-CN"/>
        </w:rPr>
      </w:pPr>
    </w:p>
    <w:p w14:paraId="34420E8E">
      <w:pPr>
        <w:rPr>
          <w:rFonts w:hint="eastAsia" w:eastAsia="宋体"/>
          <w:lang w:val="en-US" w:eastAsia="zh-CN"/>
        </w:rPr>
      </w:pPr>
    </w:p>
    <w:p w14:paraId="1CA7AB08">
      <w:pPr>
        <w:rPr>
          <w:rFonts w:hint="eastAsia" w:eastAsia="宋体"/>
          <w:lang w:val="en-US" w:eastAsia="zh-CN"/>
        </w:rPr>
      </w:pPr>
    </w:p>
    <w:p w14:paraId="280C810A">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Table S</w:t>
      </w:r>
      <w:r>
        <w:rPr>
          <w:rFonts w:hint="eastAsia" w:ascii="Times New Roman" w:hAnsi="Times New Roman" w:eastAsia="宋体" w:cs="Times New Roman"/>
          <w:b/>
          <w:bCs/>
          <w:sz w:val="24"/>
          <w:szCs w:val="24"/>
          <w:lang w:val="en-US" w:eastAsia="zh-CN"/>
        </w:rPr>
        <w:t>1</w:t>
      </w:r>
      <w:r>
        <w:rPr>
          <w:rFonts w:hint="default" w:ascii="Times New Roman" w:hAnsi="Times New Roman" w:eastAsia="宋体" w:cs="Times New Roman"/>
          <w:sz w:val="24"/>
          <w:szCs w:val="24"/>
          <w:lang w:val="en-US" w:eastAsia="zh-CN"/>
        </w:rPr>
        <w:t>. The independent test set D24 of 24 allosteric proteins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
        <w:gridCol w:w="3606"/>
        <w:gridCol w:w="1513"/>
        <w:gridCol w:w="1282"/>
        <w:gridCol w:w="1367"/>
      </w:tblGrid>
      <w:tr w14:paraId="0EB7C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8" w:hRule="atLeast"/>
        </w:trPr>
        <w:tc>
          <w:tcPr>
            <w:tcW w:w="982" w:type="dxa"/>
            <w:shd w:val="clear" w:color="auto" w:fill="D7D7D7" w:themeFill="background1" w:themeFillShade="D8"/>
            <w:vAlign w:val="center"/>
          </w:tcPr>
          <w:p w14:paraId="737D22AC">
            <w:pPr>
              <w:keepNext w:val="0"/>
              <w:keepLines w:val="0"/>
              <w:pageBreakBefore w:val="0"/>
              <w:widowControl w:val="0"/>
              <w:kinsoku/>
              <w:wordWrap/>
              <w:overflowPunct/>
              <w:topLinePunct w:val="0"/>
              <w:autoSpaceDE/>
              <w:autoSpaceDN/>
              <w:bidi w:val="0"/>
              <w:adjustRightInd/>
              <w:snapToGrid/>
              <w:spacing w:after="0" w:line="240" w:lineRule="auto"/>
              <w:jc w:val="center"/>
              <w:textAlignment w:val="auto"/>
              <w:rPr>
                <w:rFonts w:hint="default" w:ascii="Times New Roman" w:hAnsi="Times New Roman" w:eastAsia="宋体" w:cs="Times New Roman"/>
                <w:b/>
                <w:bCs/>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No.</w:t>
            </w:r>
          </w:p>
        </w:tc>
        <w:tc>
          <w:tcPr>
            <w:tcW w:w="3606" w:type="dxa"/>
            <w:shd w:val="clear" w:color="auto" w:fill="D7D7D7" w:themeFill="background1" w:themeFillShade="D8"/>
            <w:vAlign w:val="center"/>
          </w:tcPr>
          <w:p w14:paraId="28B7BD1E">
            <w:pPr>
              <w:keepNext w:val="0"/>
              <w:keepLines w:val="0"/>
              <w:pageBreakBefore w:val="0"/>
              <w:widowControl w:val="0"/>
              <w:kinsoku/>
              <w:wordWrap/>
              <w:overflowPunct/>
              <w:topLinePunct w:val="0"/>
              <w:autoSpaceDE/>
              <w:autoSpaceDN/>
              <w:bidi w:val="0"/>
              <w:adjustRightInd/>
              <w:snapToGrid/>
              <w:spacing w:after="0" w:line="240" w:lineRule="auto"/>
              <w:jc w:val="center"/>
              <w:textAlignment w:val="auto"/>
              <w:rPr>
                <w:rFonts w:hint="default" w:ascii="Times New Roman" w:hAnsi="Times New Roman" w:eastAsia="宋体" w:cs="Times New Roman"/>
                <w:b/>
                <w:bCs/>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Protein Name</w:t>
            </w:r>
          </w:p>
        </w:tc>
        <w:tc>
          <w:tcPr>
            <w:tcW w:w="1513" w:type="dxa"/>
            <w:shd w:val="clear" w:color="auto" w:fill="D7D7D7" w:themeFill="background1" w:themeFillShade="D8"/>
            <w:vAlign w:val="center"/>
          </w:tcPr>
          <w:p w14:paraId="516DD0E3">
            <w:pPr>
              <w:keepNext w:val="0"/>
              <w:keepLines w:val="0"/>
              <w:pageBreakBefore w:val="0"/>
              <w:widowControl w:val="0"/>
              <w:kinsoku/>
              <w:wordWrap/>
              <w:overflowPunct/>
              <w:topLinePunct w:val="0"/>
              <w:autoSpaceDE/>
              <w:autoSpaceDN/>
              <w:bidi w:val="0"/>
              <w:adjustRightInd/>
              <w:snapToGrid/>
              <w:spacing w:after="0" w:line="240" w:lineRule="auto"/>
              <w:jc w:val="center"/>
              <w:textAlignment w:val="auto"/>
              <w:rPr>
                <w:rFonts w:hint="default" w:ascii="Times New Roman" w:hAnsi="Times New Roman" w:eastAsia="宋体" w:cs="Times New Roman"/>
                <w:b/>
                <w:bCs/>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PDB ID</w:t>
            </w:r>
          </w:p>
        </w:tc>
        <w:tc>
          <w:tcPr>
            <w:tcW w:w="1282" w:type="dxa"/>
            <w:shd w:val="clear" w:color="auto" w:fill="D7D7D7" w:themeFill="background1" w:themeFillShade="D8"/>
            <w:vAlign w:val="center"/>
          </w:tcPr>
          <w:p w14:paraId="6B41A940">
            <w:pPr>
              <w:keepNext w:val="0"/>
              <w:keepLines w:val="0"/>
              <w:pageBreakBefore w:val="0"/>
              <w:widowControl w:val="0"/>
              <w:kinsoku/>
              <w:wordWrap/>
              <w:overflowPunct/>
              <w:topLinePunct w:val="0"/>
              <w:autoSpaceDE/>
              <w:autoSpaceDN/>
              <w:bidi w:val="0"/>
              <w:adjustRightInd/>
              <w:snapToGrid/>
              <w:spacing w:after="0" w:line="240" w:lineRule="auto"/>
              <w:jc w:val="center"/>
              <w:textAlignment w:val="auto"/>
              <w:rPr>
                <w:rFonts w:hint="default" w:ascii="Times New Roman" w:hAnsi="Times New Roman" w:eastAsia="宋体" w:cs="Times New Roman"/>
                <w:b/>
                <w:bCs/>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Chain</w:t>
            </w:r>
          </w:p>
        </w:tc>
        <w:tc>
          <w:tcPr>
            <w:tcW w:w="1367" w:type="dxa"/>
            <w:shd w:val="clear" w:color="auto" w:fill="D7D7D7" w:themeFill="background1" w:themeFillShade="D8"/>
            <w:vAlign w:val="center"/>
          </w:tcPr>
          <w:p w14:paraId="3DFFB433">
            <w:pPr>
              <w:keepNext w:val="0"/>
              <w:keepLines w:val="0"/>
              <w:pageBreakBefore w:val="0"/>
              <w:widowControl w:val="0"/>
              <w:kinsoku/>
              <w:wordWrap/>
              <w:overflowPunct/>
              <w:topLinePunct w:val="0"/>
              <w:autoSpaceDE/>
              <w:autoSpaceDN/>
              <w:bidi w:val="0"/>
              <w:adjustRightInd/>
              <w:snapToGrid/>
              <w:spacing w:after="0" w:line="240" w:lineRule="auto"/>
              <w:jc w:val="center"/>
              <w:textAlignment w:val="auto"/>
              <w:rPr>
                <w:rFonts w:hint="default" w:ascii="Times New Roman" w:hAnsi="Times New Roman" w:eastAsia="宋体" w:cs="Times New Roman"/>
                <w:b/>
                <w:bCs/>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Residue Num.</w:t>
            </w:r>
          </w:p>
        </w:tc>
      </w:tr>
      <w:tr w14:paraId="7F15CF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1" w:hRule="atLeast"/>
        </w:trPr>
        <w:tc>
          <w:tcPr>
            <w:tcW w:w="982" w:type="dxa"/>
            <w:vAlign w:val="center"/>
          </w:tcPr>
          <w:p w14:paraId="46283A1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3606" w:type="dxa"/>
            <w:vAlign w:val="center"/>
          </w:tcPr>
          <w:p w14:paraId="67CBB88D">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3',5'-cyclic nucleotide phosphodiesterase 2A</w:t>
            </w:r>
          </w:p>
        </w:tc>
        <w:tc>
          <w:tcPr>
            <w:tcW w:w="1513" w:type="dxa"/>
            <w:vAlign w:val="center"/>
          </w:tcPr>
          <w:p w14:paraId="08C0A279">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1MC0</w:t>
            </w:r>
          </w:p>
        </w:tc>
        <w:tc>
          <w:tcPr>
            <w:tcW w:w="1282" w:type="dxa"/>
            <w:vAlign w:val="center"/>
          </w:tcPr>
          <w:p w14:paraId="09BCC651">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71BC16FD">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369</w:t>
            </w:r>
          </w:p>
        </w:tc>
      </w:tr>
      <w:tr w14:paraId="545CA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982" w:type="dxa"/>
            <w:vAlign w:val="center"/>
          </w:tcPr>
          <w:p w14:paraId="357C0C88">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3606" w:type="dxa"/>
            <w:vAlign w:val="center"/>
          </w:tcPr>
          <w:p w14:paraId="00FDBB52">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Adenylate cyclase type 10</w:t>
            </w:r>
          </w:p>
        </w:tc>
        <w:tc>
          <w:tcPr>
            <w:tcW w:w="1513" w:type="dxa"/>
            <w:vAlign w:val="center"/>
          </w:tcPr>
          <w:p w14:paraId="1ACFCBD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4OYA</w:t>
            </w:r>
          </w:p>
        </w:tc>
        <w:tc>
          <w:tcPr>
            <w:tcW w:w="1282" w:type="dxa"/>
            <w:vAlign w:val="center"/>
          </w:tcPr>
          <w:p w14:paraId="32EE9466">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019C140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470</w:t>
            </w:r>
          </w:p>
        </w:tc>
      </w:tr>
      <w:tr w14:paraId="319EF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982" w:type="dxa"/>
            <w:vAlign w:val="center"/>
          </w:tcPr>
          <w:p w14:paraId="6214DDB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3606" w:type="dxa"/>
            <w:vAlign w:val="center"/>
          </w:tcPr>
          <w:p w14:paraId="6B2F1E85">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Aspartokinase 1, chloroplastic</w:t>
            </w:r>
          </w:p>
        </w:tc>
        <w:tc>
          <w:tcPr>
            <w:tcW w:w="1513" w:type="dxa"/>
            <w:vAlign w:val="center"/>
          </w:tcPr>
          <w:p w14:paraId="66E46894">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2CDQ</w:t>
            </w:r>
          </w:p>
        </w:tc>
        <w:tc>
          <w:tcPr>
            <w:tcW w:w="1282" w:type="dxa"/>
            <w:vAlign w:val="center"/>
          </w:tcPr>
          <w:p w14:paraId="018FEE1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1205E8DA">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510</w:t>
            </w:r>
          </w:p>
        </w:tc>
      </w:tr>
      <w:tr w14:paraId="61846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trPr>
        <w:tc>
          <w:tcPr>
            <w:tcW w:w="982" w:type="dxa"/>
            <w:vAlign w:val="center"/>
          </w:tcPr>
          <w:p w14:paraId="7766848F">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3606" w:type="dxa"/>
            <w:vAlign w:val="center"/>
          </w:tcPr>
          <w:p w14:paraId="19FD7E9E">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BirA(Pyrococcus horikoshii)</w:t>
            </w:r>
          </w:p>
        </w:tc>
        <w:tc>
          <w:tcPr>
            <w:tcW w:w="1513" w:type="dxa"/>
            <w:vAlign w:val="center"/>
          </w:tcPr>
          <w:p w14:paraId="5CDD872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1WQW</w:t>
            </w:r>
          </w:p>
        </w:tc>
        <w:tc>
          <w:tcPr>
            <w:tcW w:w="1282" w:type="dxa"/>
            <w:vAlign w:val="center"/>
          </w:tcPr>
          <w:p w14:paraId="791A6904">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252E9203">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235</w:t>
            </w:r>
          </w:p>
        </w:tc>
      </w:tr>
      <w:tr w14:paraId="14863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982" w:type="dxa"/>
            <w:vAlign w:val="center"/>
          </w:tcPr>
          <w:p w14:paraId="3A624DA8">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606" w:type="dxa"/>
            <w:vAlign w:val="center"/>
          </w:tcPr>
          <w:p w14:paraId="218AE0A5">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Cathepsin K</w:t>
            </w:r>
          </w:p>
        </w:tc>
        <w:tc>
          <w:tcPr>
            <w:tcW w:w="1513" w:type="dxa"/>
            <w:vAlign w:val="center"/>
          </w:tcPr>
          <w:p w14:paraId="1578F354">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5J94</w:t>
            </w:r>
          </w:p>
        </w:tc>
        <w:tc>
          <w:tcPr>
            <w:tcW w:w="1282" w:type="dxa"/>
            <w:vAlign w:val="center"/>
          </w:tcPr>
          <w:p w14:paraId="33FC1732">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79668551">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223</w:t>
            </w:r>
          </w:p>
        </w:tc>
      </w:tr>
      <w:tr w14:paraId="6C88A9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982" w:type="dxa"/>
            <w:vAlign w:val="center"/>
          </w:tcPr>
          <w:p w14:paraId="06A156FA">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6</w:t>
            </w:r>
          </w:p>
        </w:tc>
        <w:tc>
          <w:tcPr>
            <w:tcW w:w="3606" w:type="dxa"/>
            <w:vAlign w:val="center"/>
          </w:tcPr>
          <w:p w14:paraId="004C0B87">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Cystathionine beta-synthase</w:t>
            </w:r>
          </w:p>
        </w:tc>
        <w:tc>
          <w:tcPr>
            <w:tcW w:w="1513" w:type="dxa"/>
            <w:vAlign w:val="center"/>
          </w:tcPr>
          <w:p w14:paraId="1FCE3DC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4PCU</w:t>
            </w:r>
          </w:p>
        </w:tc>
        <w:tc>
          <w:tcPr>
            <w:tcW w:w="1282" w:type="dxa"/>
            <w:vAlign w:val="center"/>
          </w:tcPr>
          <w:p w14:paraId="44FD1DF8">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1933A05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549</w:t>
            </w:r>
          </w:p>
        </w:tc>
      </w:tr>
      <w:tr w14:paraId="14D02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982" w:type="dxa"/>
            <w:vAlign w:val="center"/>
          </w:tcPr>
          <w:p w14:paraId="4A06C3E4">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7</w:t>
            </w:r>
          </w:p>
        </w:tc>
        <w:tc>
          <w:tcPr>
            <w:tcW w:w="3606" w:type="dxa"/>
            <w:vAlign w:val="center"/>
          </w:tcPr>
          <w:p w14:paraId="5676CEA6">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Dihydropteroate synthase</w:t>
            </w:r>
          </w:p>
        </w:tc>
        <w:tc>
          <w:tcPr>
            <w:tcW w:w="1513" w:type="dxa"/>
            <w:vAlign w:val="center"/>
          </w:tcPr>
          <w:p w14:paraId="2776DA62">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4NHV</w:t>
            </w:r>
          </w:p>
        </w:tc>
        <w:tc>
          <w:tcPr>
            <w:tcW w:w="1282" w:type="dxa"/>
            <w:vAlign w:val="center"/>
          </w:tcPr>
          <w:p w14:paraId="3C12E0E9">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37BA9CD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297</w:t>
            </w:r>
          </w:p>
        </w:tc>
      </w:tr>
      <w:tr w14:paraId="61B28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982" w:type="dxa"/>
            <w:vAlign w:val="center"/>
          </w:tcPr>
          <w:p w14:paraId="5128B85A">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8</w:t>
            </w:r>
          </w:p>
        </w:tc>
        <w:tc>
          <w:tcPr>
            <w:tcW w:w="3606" w:type="dxa"/>
            <w:vAlign w:val="center"/>
          </w:tcPr>
          <w:p w14:paraId="1898DDD7">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Inosine-5'-monophosp hate dehydrogenase</w:t>
            </w:r>
          </w:p>
        </w:tc>
        <w:tc>
          <w:tcPr>
            <w:tcW w:w="1513" w:type="dxa"/>
            <w:vAlign w:val="center"/>
          </w:tcPr>
          <w:p w14:paraId="5E17E021">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4DQW</w:t>
            </w:r>
          </w:p>
        </w:tc>
        <w:tc>
          <w:tcPr>
            <w:tcW w:w="1282" w:type="dxa"/>
            <w:vAlign w:val="center"/>
          </w:tcPr>
          <w:p w14:paraId="4BF61DD8">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31A59F9A">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509</w:t>
            </w:r>
          </w:p>
        </w:tc>
      </w:tr>
      <w:tr w14:paraId="3CDE1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trPr>
        <w:tc>
          <w:tcPr>
            <w:tcW w:w="982" w:type="dxa"/>
            <w:vAlign w:val="center"/>
          </w:tcPr>
          <w:p w14:paraId="29E79787">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9</w:t>
            </w:r>
          </w:p>
        </w:tc>
        <w:tc>
          <w:tcPr>
            <w:tcW w:w="3606" w:type="dxa"/>
            <w:vAlign w:val="center"/>
          </w:tcPr>
          <w:p w14:paraId="00C1A718">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LIM domain kinase 2</w:t>
            </w:r>
          </w:p>
        </w:tc>
        <w:tc>
          <w:tcPr>
            <w:tcW w:w="1513" w:type="dxa"/>
            <w:vAlign w:val="center"/>
          </w:tcPr>
          <w:p w14:paraId="04B2F0E2">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4TPT</w:t>
            </w:r>
          </w:p>
        </w:tc>
        <w:tc>
          <w:tcPr>
            <w:tcW w:w="1282" w:type="dxa"/>
            <w:vAlign w:val="center"/>
          </w:tcPr>
          <w:p w14:paraId="1BB8760E">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4E4B4DA1">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303</w:t>
            </w:r>
          </w:p>
        </w:tc>
      </w:tr>
      <w:tr w14:paraId="778FE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982" w:type="dxa"/>
            <w:vAlign w:val="center"/>
          </w:tcPr>
          <w:p w14:paraId="57EDB7CF">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10</w:t>
            </w:r>
          </w:p>
        </w:tc>
        <w:tc>
          <w:tcPr>
            <w:tcW w:w="3606" w:type="dxa"/>
            <w:vAlign w:val="center"/>
          </w:tcPr>
          <w:p w14:paraId="306E0761">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Neurolysin, mitochondrial</w:t>
            </w:r>
          </w:p>
        </w:tc>
        <w:tc>
          <w:tcPr>
            <w:tcW w:w="1513" w:type="dxa"/>
            <w:vAlign w:val="center"/>
          </w:tcPr>
          <w:p w14:paraId="7FB1EAC0">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4FXY</w:t>
            </w:r>
          </w:p>
        </w:tc>
        <w:tc>
          <w:tcPr>
            <w:tcW w:w="1282" w:type="dxa"/>
            <w:vAlign w:val="center"/>
          </w:tcPr>
          <w:p w14:paraId="732300D3">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w:t>
            </w:r>
          </w:p>
        </w:tc>
        <w:tc>
          <w:tcPr>
            <w:tcW w:w="1367" w:type="dxa"/>
            <w:vAlign w:val="center"/>
          </w:tcPr>
          <w:p w14:paraId="73030577">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693</w:t>
            </w:r>
          </w:p>
        </w:tc>
      </w:tr>
      <w:tr w14:paraId="2A952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4" w:hRule="atLeast"/>
        </w:trPr>
        <w:tc>
          <w:tcPr>
            <w:tcW w:w="982" w:type="dxa"/>
            <w:vAlign w:val="center"/>
          </w:tcPr>
          <w:p w14:paraId="07D44DBD">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11</w:t>
            </w:r>
          </w:p>
        </w:tc>
        <w:tc>
          <w:tcPr>
            <w:tcW w:w="3606" w:type="dxa"/>
            <w:vAlign w:val="center"/>
          </w:tcPr>
          <w:p w14:paraId="032087D1">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Heterodimeric HIF-2 </w:t>
            </w:r>
          </w:p>
        </w:tc>
        <w:tc>
          <w:tcPr>
            <w:tcW w:w="1513" w:type="dxa"/>
            <w:vAlign w:val="center"/>
          </w:tcPr>
          <w:p w14:paraId="55B459CD">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6E3U</w:t>
            </w:r>
          </w:p>
        </w:tc>
        <w:tc>
          <w:tcPr>
            <w:tcW w:w="1282" w:type="dxa"/>
            <w:vAlign w:val="center"/>
          </w:tcPr>
          <w:p w14:paraId="4E2A6F28">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w:t>
            </w:r>
          </w:p>
        </w:tc>
        <w:tc>
          <w:tcPr>
            <w:tcW w:w="1367" w:type="dxa"/>
            <w:vAlign w:val="center"/>
          </w:tcPr>
          <w:p w14:paraId="2764FBA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642</w:t>
            </w:r>
          </w:p>
        </w:tc>
      </w:tr>
      <w:tr w14:paraId="2287A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3" w:hRule="atLeast"/>
        </w:trPr>
        <w:tc>
          <w:tcPr>
            <w:tcW w:w="982" w:type="dxa"/>
            <w:vAlign w:val="center"/>
          </w:tcPr>
          <w:p w14:paraId="7F9ACED2">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12</w:t>
            </w:r>
          </w:p>
        </w:tc>
        <w:tc>
          <w:tcPr>
            <w:tcW w:w="3606" w:type="dxa"/>
            <w:vAlign w:val="center"/>
          </w:tcPr>
          <w:p w14:paraId="00654756">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Chorismate mutase 1, chloroplastic</w:t>
            </w:r>
          </w:p>
        </w:tc>
        <w:tc>
          <w:tcPr>
            <w:tcW w:w="1513" w:type="dxa"/>
            <w:vAlign w:val="center"/>
          </w:tcPr>
          <w:p w14:paraId="22DD8788">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4PPV</w:t>
            </w:r>
          </w:p>
        </w:tc>
        <w:tc>
          <w:tcPr>
            <w:tcW w:w="1282" w:type="dxa"/>
            <w:vAlign w:val="center"/>
          </w:tcPr>
          <w:p w14:paraId="36EA6646">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58B3BC7E">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280</w:t>
            </w:r>
          </w:p>
        </w:tc>
      </w:tr>
      <w:tr w14:paraId="2B6DF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982" w:type="dxa"/>
            <w:vAlign w:val="center"/>
          </w:tcPr>
          <w:p w14:paraId="381D4576">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13</w:t>
            </w:r>
          </w:p>
        </w:tc>
        <w:tc>
          <w:tcPr>
            <w:tcW w:w="3606" w:type="dxa"/>
            <w:vAlign w:val="center"/>
          </w:tcPr>
          <w:p w14:paraId="34A7A91D">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NAD-dependent</w:t>
            </w:r>
            <w:r>
              <w:rPr>
                <w:rFonts w:hint="eastAsia" w:ascii="Times New Roman" w:hAnsi="Times New Roman" w:eastAsia="宋体" w:cs="Times New Roman"/>
                <w:sz w:val="21"/>
                <w:szCs w:val="21"/>
                <w:vertAlign w:val="baseline"/>
                <w:lang w:val="en-US" w:eastAsia="zh-CN"/>
              </w:rPr>
              <w:t xml:space="preserve"> protein deacetylase sirtuin-1</w:t>
            </w:r>
          </w:p>
        </w:tc>
        <w:tc>
          <w:tcPr>
            <w:tcW w:w="1513" w:type="dxa"/>
            <w:vAlign w:val="center"/>
          </w:tcPr>
          <w:p w14:paraId="4662B898">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5BTR</w:t>
            </w:r>
          </w:p>
        </w:tc>
        <w:tc>
          <w:tcPr>
            <w:tcW w:w="1282" w:type="dxa"/>
            <w:vAlign w:val="center"/>
          </w:tcPr>
          <w:p w14:paraId="712D71E0">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24310A5E">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397</w:t>
            </w:r>
          </w:p>
        </w:tc>
      </w:tr>
      <w:tr w14:paraId="0C6B1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9" w:hRule="atLeast"/>
        </w:trPr>
        <w:tc>
          <w:tcPr>
            <w:tcW w:w="982" w:type="dxa"/>
            <w:vAlign w:val="center"/>
          </w:tcPr>
          <w:p w14:paraId="5E26526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14</w:t>
            </w:r>
          </w:p>
        </w:tc>
        <w:tc>
          <w:tcPr>
            <w:tcW w:w="3606" w:type="dxa"/>
            <w:vAlign w:val="center"/>
          </w:tcPr>
          <w:p w14:paraId="3E5FFBCF">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Threonine synthase 1, chloroplastic</w:t>
            </w:r>
          </w:p>
        </w:tc>
        <w:tc>
          <w:tcPr>
            <w:tcW w:w="1513" w:type="dxa"/>
            <w:vAlign w:val="center"/>
          </w:tcPr>
          <w:p w14:paraId="65D7E2E1">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2C2B</w:t>
            </w:r>
          </w:p>
        </w:tc>
        <w:tc>
          <w:tcPr>
            <w:tcW w:w="1282" w:type="dxa"/>
            <w:vAlign w:val="center"/>
          </w:tcPr>
          <w:p w14:paraId="403FD1E9">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096CD0A1">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486</w:t>
            </w:r>
          </w:p>
        </w:tc>
      </w:tr>
      <w:tr w14:paraId="1C4F4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4" w:hRule="atLeast"/>
        </w:trPr>
        <w:tc>
          <w:tcPr>
            <w:tcW w:w="982" w:type="dxa"/>
            <w:vAlign w:val="center"/>
          </w:tcPr>
          <w:p w14:paraId="2AF5BE4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15</w:t>
            </w:r>
          </w:p>
        </w:tc>
        <w:tc>
          <w:tcPr>
            <w:tcW w:w="3606" w:type="dxa"/>
            <w:vAlign w:val="center"/>
          </w:tcPr>
          <w:p w14:paraId="3E17533A">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Ubiquitin-conjugating enzyme E2 D1</w:t>
            </w:r>
          </w:p>
        </w:tc>
        <w:tc>
          <w:tcPr>
            <w:tcW w:w="1513" w:type="dxa"/>
            <w:vAlign w:val="center"/>
          </w:tcPr>
          <w:p w14:paraId="59918211">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4QPL</w:t>
            </w:r>
          </w:p>
        </w:tc>
        <w:tc>
          <w:tcPr>
            <w:tcW w:w="1282" w:type="dxa"/>
            <w:vAlign w:val="center"/>
          </w:tcPr>
          <w:p w14:paraId="64F0AD0A">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24DE7D60">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155</w:t>
            </w:r>
          </w:p>
        </w:tc>
      </w:tr>
      <w:tr w14:paraId="572C1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3" w:hRule="atLeast"/>
        </w:trPr>
        <w:tc>
          <w:tcPr>
            <w:tcW w:w="982" w:type="dxa"/>
            <w:vAlign w:val="center"/>
          </w:tcPr>
          <w:p w14:paraId="5E81F74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16</w:t>
            </w:r>
          </w:p>
        </w:tc>
        <w:tc>
          <w:tcPr>
            <w:tcW w:w="3606" w:type="dxa"/>
            <w:vAlign w:val="center"/>
          </w:tcPr>
          <w:p w14:paraId="4058881A">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Serine/threonine-prote in kinase PAK 1</w:t>
            </w:r>
          </w:p>
        </w:tc>
        <w:tc>
          <w:tcPr>
            <w:tcW w:w="1513" w:type="dxa"/>
            <w:vAlign w:val="center"/>
          </w:tcPr>
          <w:p w14:paraId="470E5B13">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4ZLO</w:t>
            </w:r>
          </w:p>
        </w:tc>
        <w:tc>
          <w:tcPr>
            <w:tcW w:w="1282" w:type="dxa"/>
            <w:vAlign w:val="center"/>
          </w:tcPr>
          <w:p w14:paraId="122E0C77">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0550EAA4">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298</w:t>
            </w:r>
          </w:p>
        </w:tc>
      </w:tr>
      <w:tr w14:paraId="0C937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7" w:hRule="atLeast"/>
        </w:trPr>
        <w:tc>
          <w:tcPr>
            <w:tcW w:w="982" w:type="dxa"/>
            <w:vAlign w:val="center"/>
          </w:tcPr>
          <w:p w14:paraId="3937D286">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17</w:t>
            </w:r>
          </w:p>
        </w:tc>
        <w:tc>
          <w:tcPr>
            <w:tcW w:w="3606" w:type="dxa"/>
            <w:vAlign w:val="center"/>
          </w:tcPr>
          <w:p w14:paraId="5CE74208">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Metabotropic glutamate receptor 5,Endolysin,Metabotr opic glutamate receptor 5</w:t>
            </w:r>
          </w:p>
        </w:tc>
        <w:tc>
          <w:tcPr>
            <w:tcW w:w="1513" w:type="dxa"/>
            <w:vAlign w:val="center"/>
          </w:tcPr>
          <w:p w14:paraId="5D5824E7">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5CGC</w:t>
            </w:r>
          </w:p>
        </w:tc>
        <w:tc>
          <w:tcPr>
            <w:tcW w:w="1282" w:type="dxa"/>
            <w:vAlign w:val="center"/>
          </w:tcPr>
          <w:p w14:paraId="3D6249C8">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5A0D91AD">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444</w:t>
            </w:r>
          </w:p>
        </w:tc>
      </w:tr>
      <w:tr w14:paraId="185DA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982" w:type="dxa"/>
            <w:vAlign w:val="center"/>
          </w:tcPr>
          <w:p w14:paraId="460872A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18</w:t>
            </w:r>
          </w:p>
        </w:tc>
        <w:tc>
          <w:tcPr>
            <w:tcW w:w="3606" w:type="dxa"/>
            <w:vAlign w:val="center"/>
          </w:tcPr>
          <w:p w14:paraId="1ED79005">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Phosphoenolpyruvate carboxykinase, cytosolic [GTP]</w:t>
            </w:r>
          </w:p>
        </w:tc>
        <w:tc>
          <w:tcPr>
            <w:tcW w:w="1513" w:type="dxa"/>
            <w:vAlign w:val="center"/>
          </w:tcPr>
          <w:p w14:paraId="120169A9">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4YW8</w:t>
            </w:r>
          </w:p>
        </w:tc>
        <w:tc>
          <w:tcPr>
            <w:tcW w:w="1282" w:type="dxa"/>
            <w:vAlign w:val="center"/>
          </w:tcPr>
          <w:p w14:paraId="17DB75B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0763D5CA">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624</w:t>
            </w:r>
          </w:p>
        </w:tc>
      </w:tr>
      <w:tr w14:paraId="30413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trPr>
        <w:tc>
          <w:tcPr>
            <w:tcW w:w="982" w:type="dxa"/>
            <w:vAlign w:val="center"/>
          </w:tcPr>
          <w:p w14:paraId="698893B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19</w:t>
            </w:r>
          </w:p>
        </w:tc>
        <w:tc>
          <w:tcPr>
            <w:tcW w:w="3606" w:type="dxa"/>
            <w:vAlign w:val="center"/>
          </w:tcPr>
          <w:p w14:paraId="248D86DB">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Isocitrate dehydrogenase [NADP] cytoplasmic</w:t>
            </w:r>
          </w:p>
        </w:tc>
        <w:tc>
          <w:tcPr>
            <w:tcW w:w="1513" w:type="dxa"/>
            <w:vAlign w:val="center"/>
          </w:tcPr>
          <w:p w14:paraId="6C5891E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5DE1</w:t>
            </w:r>
          </w:p>
        </w:tc>
        <w:tc>
          <w:tcPr>
            <w:tcW w:w="1282" w:type="dxa"/>
            <w:vAlign w:val="center"/>
          </w:tcPr>
          <w:p w14:paraId="04AF35ED">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00BF182F">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413</w:t>
            </w:r>
          </w:p>
        </w:tc>
      </w:tr>
      <w:tr w14:paraId="32D83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982" w:type="dxa"/>
            <w:vAlign w:val="center"/>
          </w:tcPr>
          <w:p w14:paraId="2061EC53">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20</w:t>
            </w:r>
          </w:p>
        </w:tc>
        <w:tc>
          <w:tcPr>
            <w:tcW w:w="3606" w:type="dxa"/>
            <w:vAlign w:val="center"/>
          </w:tcPr>
          <w:p w14:paraId="19AD7E00">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Nuclear receptor ROR-gamma</w:t>
            </w:r>
          </w:p>
        </w:tc>
        <w:tc>
          <w:tcPr>
            <w:tcW w:w="1513" w:type="dxa"/>
            <w:vAlign w:val="center"/>
          </w:tcPr>
          <w:p w14:paraId="08B72BBD">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5C4T</w:t>
            </w:r>
          </w:p>
        </w:tc>
        <w:tc>
          <w:tcPr>
            <w:tcW w:w="1282" w:type="dxa"/>
            <w:vAlign w:val="center"/>
          </w:tcPr>
          <w:p w14:paraId="2D34DC03">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244489A6">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241</w:t>
            </w:r>
          </w:p>
        </w:tc>
      </w:tr>
      <w:tr w14:paraId="73EBA9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982" w:type="dxa"/>
            <w:vAlign w:val="center"/>
          </w:tcPr>
          <w:p w14:paraId="02BB43D0">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21</w:t>
            </w:r>
          </w:p>
        </w:tc>
        <w:tc>
          <w:tcPr>
            <w:tcW w:w="3606" w:type="dxa"/>
            <w:vAlign w:val="center"/>
          </w:tcPr>
          <w:p w14:paraId="1BC74334">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Thyroid hormone receptor alpha</w:t>
            </w:r>
          </w:p>
        </w:tc>
        <w:tc>
          <w:tcPr>
            <w:tcW w:w="1513" w:type="dxa"/>
            <w:vAlign w:val="center"/>
          </w:tcPr>
          <w:p w14:paraId="4981D890">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3UVV</w:t>
            </w:r>
          </w:p>
        </w:tc>
        <w:tc>
          <w:tcPr>
            <w:tcW w:w="1282" w:type="dxa"/>
            <w:vAlign w:val="center"/>
          </w:tcPr>
          <w:p w14:paraId="0C83FAF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w:t>
            </w:r>
          </w:p>
        </w:tc>
        <w:tc>
          <w:tcPr>
            <w:tcW w:w="1367" w:type="dxa"/>
            <w:vAlign w:val="center"/>
          </w:tcPr>
          <w:p w14:paraId="1B0AE1BA">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244</w:t>
            </w:r>
          </w:p>
        </w:tc>
      </w:tr>
      <w:tr w14:paraId="77BB8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982" w:type="dxa"/>
            <w:vAlign w:val="center"/>
          </w:tcPr>
          <w:p w14:paraId="584D38A6">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22</w:t>
            </w:r>
          </w:p>
        </w:tc>
        <w:tc>
          <w:tcPr>
            <w:tcW w:w="3606" w:type="dxa"/>
            <w:vAlign w:val="center"/>
          </w:tcPr>
          <w:p w14:paraId="7CA23DAE">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GTP pyrophosphokinase YjbM</w:t>
            </w:r>
          </w:p>
        </w:tc>
        <w:tc>
          <w:tcPr>
            <w:tcW w:w="1513" w:type="dxa"/>
            <w:vAlign w:val="center"/>
          </w:tcPr>
          <w:p w14:paraId="7E6B843B">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5DED</w:t>
            </w:r>
          </w:p>
        </w:tc>
        <w:tc>
          <w:tcPr>
            <w:tcW w:w="1282" w:type="dxa"/>
            <w:vAlign w:val="center"/>
          </w:tcPr>
          <w:p w14:paraId="5D95912C">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367" w:type="dxa"/>
            <w:vAlign w:val="center"/>
          </w:tcPr>
          <w:p w14:paraId="4596BCA9">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218</w:t>
            </w:r>
          </w:p>
        </w:tc>
      </w:tr>
      <w:tr w14:paraId="12C81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982" w:type="dxa"/>
            <w:vAlign w:val="center"/>
          </w:tcPr>
          <w:p w14:paraId="697AFDF5">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23</w:t>
            </w:r>
          </w:p>
        </w:tc>
        <w:tc>
          <w:tcPr>
            <w:tcW w:w="3606" w:type="dxa"/>
            <w:vAlign w:val="center"/>
          </w:tcPr>
          <w:p w14:paraId="26D22863">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DynE7</w:t>
            </w:r>
          </w:p>
        </w:tc>
        <w:tc>
          <w:tcPr>
            <w:tcW w:w="1513" w:type="dxa"/>
            <w:vAlign w:val="center"/>
          </w:tcPr>
          <w:p w14:paraId="5B529E8A">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2XEM</w:t>
            </w:r>
          </w:p>
        </w:tc>
        <w:tc>
          <w:tcPr>
            <w:tcW w:w="1282" w:type="dxa"/>
            <w:vAlign w:val="center"/>
          </w:tcPr>
          <w:p w14:paraId="2C9FD810">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w:t>
            </w:r>
          </w:p>
        </w:tc>
        <w:tc>
          <w:tcPr>
            <w:tcW w:w="1367" w:type="dxa"/>
            <w:vAlign w:val="center"/>
          </w:tcPr>
          <w:p w14:paraId="653F43A3">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150</w:t>
            </w:r>
          </w:p>
        </w:tc>
      </w:tr>
      <w:tr w14:paraId="74C67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4" w:hRule="atLeast"/>
        </w:trPr>
        <w:tc>
          <w:tcPr>
            <w:tcW w:w="982" w:type="dxa"/>
            <w:vAlign w:val="center"/>
          </w:tcPr>
          <w:p w14:paraId="782B9FA7">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24</w:t>
            </w:r>
          </w:p>
        </w:tc>
        <w:tc>
          <w:tcPr>
            <w:tcW w:w="3606" w:type="dxa"/>
            <w:vAlign w:val="center"/>
          </w:tcPr>
          <w:p w14:paraId="3D8863F0">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100" w:beforeAutospacing="0" w:after="0" w:afterAutospacing="0" w:line="360" w:lineRule="auto"/>
              <w:ind w:left="0" w:firstLine="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Helvetica" w:cs="Times New Roman"/>
                <w:b w:val="0"/>
                <w:bCs w:val="0"/>
                <w:i w:val="0"/>
                <w:iCs w:val="0"/>
                <w:caps w:val="0"/>
                <w:color w:val="000000" w:themeColor="text1"/>
                <w:spacing w:val="0"/>
                <w:sz w:val="21"/>
                <w:szCs w:val="21"/>
                <w14:textFill>
                  <w14:solidFill>
                    <w14:schemeClr w14:val="tx1"/>
                  </w14:solidFill>
                </w14:textFill>
              </w:rPr>
              <w:t>TmaDAH7PS</w:t>
            </w:r>
          </w:p>
        </w:tc>
        <w:tc>
          <w:tcPr>
            <w:tcW w:w="1513" w:type="dxa"/>
            <w:vAlign w:val="center"/>
          </w:tcPr>
          <w:p w14:paraId="37296197">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3PG9</w:t>
            </w:r>
          </w:p>
        </w:tc>
        <w:tc>
          <w:tcPr>
            <w:tcW w:w="1282" w:type="dxa"/>
            <w:vAlign w:val="center"/>
          </w:tcPr>
          <w:p w14:paraId="57110D4D">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w:t>
            </w:r>
          </w:p>
        </w:tc>
        <w:tc>
          <w:tcPr>
            <w:tcW w:w="1367" w:type="dxa"/>
            <w:vAlign w:val="center"/>
          </w:tcPr>
          <w:p w14:paraId="1A111263">
            <w:pPr>
              <w:keepNext w:val="0"/>
              <w:keepLines w:val="0"/>
              <w:pageBreakBefore w:val="0"/>
              <w:widowControl w:val="0"/>
              <w:kinsoku/>
              <w:wordWrap/>
              <w:overflowPunct/>
              <w:topLinePunct w:val="0"/>
              <w:autoSpaceDE/>
              <w:autoSpaceDN/>
              <w:bidi w:val="0"/>
              <w:adjustRightInd/>
              <w:snapToGrid/>
              <w:spacing w:after="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338</w:t>
            </w:r>
          </w:p>
        </w:tc>
      </w:tr>
    </w:tbl>
    <w:p w14:paraId="25C89CFD">
      <w:pPr>
        <w:jc w:val="both"/>
        <w:rPr>
          <w:rFonts w:hint="default" w:ascii="Times New Roman" w:hAnsi="Times New Roman" w:eastAsia="宋体" w:cs="Times New Roman"/>
          <w:sz w:val="21"/>
          <w:szCs w:val="21"/>
          <w:lang w:val="en-US" w:eastAsia="zh-CN"/>
        </w:rPr>
      </w:pPr>
    </w:p>
    <w:p w14:paraId="0DCD3457">
      <w:pPr>
        <w:rPr>
          <w:rFonts w:hint="eastAsia" w:eastAsia="宋体"/>
          <w:lang w:val="en-US" w:eastAsia="zh-CN"/>
        </w:rPr>
      </w:pPr>
    </w:p>
    <w:p w14:paraId="360D828B">
      <w:r>
        <w:rPr>
          <w:rFonts w:hint="eastAsia" w:eastAsia="宋体"/>
          <w:lang w:val="en-US" w:eastAsia="zh-CN"/>
        </w:rPr>
        <w:drawing>
          <wp:inline distT="0" distB="0" distL="114300" distR="114300">
            <wp:extent cx="5723255" cy="2759075"/>
            <wp:effectExtent l="0" t="0" r="4445" b="9525"/>
            <wp:docPr id="6" name="图片 6"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1"/>
                    <pic:cNvPicPr>
                      <a:picLocks noChangeAspect="1"/>
                    </pic:cNvPicPr>
                  </pic:nvPicPr>
                  <pic:blipFill>
                    <a:blip r:embed="rId7"/>
                    <a:stretch>
                      <a:fillRect/>
                    </a:stretch>
                  </pic:blipFill>
                  <pic:spPr>
                    <a:xfrm>
                      <a:off x="0" y="0"/>
                      <a:ext cx="5723255" cy="2759075"/>
                    </a:xfrm>
                    <a:prstGeom prst="rect">
                      <a:avLst/>
                    </a:prstGeom>
                  </pic:spPr>
                </pic:pic>
              </a:graphicData>
            </a:graphic>
          </wp:inline>
        </w:drawing>
      </w:r>
      <w:r>
        <w:rPr>
          <w:rFonts w:hint="eastAsia" w:eastAsia="宋体"/>
          <w:lang w:val="en-US" w:eastAsia="zh-CN"/>
        </w:rPr>
        <w:drawing>
          <wp:inline distT="0" distB="0" distL="114300" distR="114300">
            <wp:extent cx="5723890" cy="2519680"/>
            <wp:effectExtent l="0" t="0" r="0" b="0"/>
            <wp:docPr id="5" name="图片 5"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2"/>
                    <pic:cNvPicPr>
                      <a:picLocks noChangeAspect="1"/>
                    </pic:cNvPicPr>
                  </pic:nvPicPr>
                  <pic:blipFill>
                    <a:blip r:embed="rId8"/>
                    <a:srcRect t="9178"/>
                    <a:stretch>
                      <a:fillRect/>
                    </a:stretch>
                  </pic:blipFill>
                  <pic:spPr>
                    <a:xfrm>
                      <a:off x="0" y="0"/>
                      <a:ext cx="5723890" cy="2519680"/>
                    </a:xfrm>
                    <a:prstGeom prst="rect">
                      <a:avLst/>
                    </a:prstGeom>
                  </pic:spPr>
                </pic:pic>
              </a:graphicData>
            </a:graphic>
          </wp:inline>
        </w:drawing>
      </w:r>
      <w:r>
        <w:drawing>
          <wp:inline distT="0" distB="0" distL="114300" distR="114300">
            <wp:extent cx="5722620" cy="2449195"/>
            <wp:effectExtent l="0" t="0" r="5080"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722620" cy="2449195"/>
                    </a:xfrm>
                    <a:prstGeom prst="rect">
                      <a:avLst/>
                    </a:prstGeom>
                    <a:noFill/>
                    <a:ln>
                      <a:noFill/>
                    </a:ln>
                  </pic:spPr>
                </pic:pic>
              </a:graphicData>
            </a:graphic>
          </wp:inline>
        </w:drawing>
      </w:r>
    </w:p>
    <w:p w14:paraId="00991EE0">
      <w:pPr>
        <w:rPr>
          <w:rFonts w:hint="eastAsia"/>
          <w:lang w:val="en-US" w:eastAsia="zh-CN"/>
        </w:rPr>
      </w:pPr>
    </w:p>
    <w:p w14:paraId="5F00B650">
      <w:pPr>
        <w:rPr>
          <w:rFonts w:cstheme="minorHAnsi"/>
          <w:b/>
          <w:bCs/>
        </w:rPr>
      </w:pPr>
      <w:r>
        <w:drawing>
          <wp:inline distT="0" distB="0" distL="114300" distR="114300">
            <wp:extent cx="5723890" cy="2475230"/>
            <wp:effectExtent l="0" t="0" r="3810"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723890" cy="2475230"/>
                    </a:xfrm>
                    <a:prstGeom prst="rect">
                      <a:avLst/>
                    </a:prstGeom>
                    <a:noFill/>
                    <a:ln>
                      <a:noFill/>
                    </a:ln>
                  </pic:spPr>
                </pic:pic>
              </a:graphicData>
            </a:graphic>
          </wp:inline>
        </w:drawing>
      </w:r>
      <w:r>
        <w:rPr>
          <w:rFonts w:hint="eastAsia" w:eastAsia="宋体"/>
          <w:lang w:val="en-US" w:eastAsia="zh-CN"/>
        </w:rPr>
        <w:drawing>
          <wp:inline distT="0" distB="0" distL="114300" distR="114300">
            <wp:extent cx="5730875" cy="2467610"/>
            <wp:effectExtent l="0" t="0" r="0" b="0"/>
            <wp:docPr id="2" name="图片 2" descr="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5"/>
                    <pic:cNvPicPr>
                      <a:picLocks noChangeAspect="1"/>
                    </pic:cNvPicPr>
                  </pic:nvPicPr>
                  <pic:blipFill>
                    <a:blip r:embed="rId11"/>
                    <a:srcRect t="2017"/>
                    <a:stretch>
                      <a:fillRect/>
                    </a:stretch>
                  </pic:blipFill>
                  <pic:spPr>
                    <a:xfrm>
                      <a:off x="0" y="0"/>
                      <a:ext cx="5730875" cy="2467610"/>
                    </a:xfrm>
                    <a:prstGeom prst="rect">
                      <a:avLst/>
                    </a:prstGeom>
                  </pic:spPr>
                </pic:pic>
              </a:graphicData>
            </a:graphic>
          </wp:inline>
        </w:drawing>
      </w:r>
      <w:r>
        <w:rPr>
          <w:rFonts w:hint="eastAsia" w:eastAsia="宋体"/>
          <w:lang w:val="en-US" w:eastAsia="zh-CN"/>
        </w:rPr>
        <w:drawing>
          <wp:inline distT="0" distB="0" distL="114300" distR="114300">
            <wp:extent cx="5728970" cy="2553970"/>
            <wp:effectExtent l="0" t="0" r="0" b="0"/>
            <wp:docPr id="1" name="图片 1" descr="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6"/>
                    <pic:cNvPicPr>
                      <a:picLocks noChangeAspect="1"/>
                    </pic:cNvPicPr>
                  </pic:nvPicPr>
                  <pic:blipFill>
                    <a:blip r:embed="rId12"/>
                    <a:srcRect t="3271"/>
                    <a:stretch>
                      <a:fillRect/>
                    </a:stretch>
                  </pic:blipFill>
                  <pic:spPr>
                    <a:xfrm>
                      <a:off x="0" y="0"/>
                      <a:ext cx="5728970" cy="2553970"/>
                    </a:xfrm>
                    <a:prstGeom prst="rect">
                      <a:avLst/>
                    </a:prstGeom>
                  </pic:spPr>
                </pic:pic>
              </a:graphicData>
            </a:graphic>
          </wp:inline>
        </w:drawing>
      </w:r>
    </w:p>
    <w:p w14:paraId="1246B6C7">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firstLine="420" w:firstLineChars="0"/>
        <w:jc w:val="both"/>
        <w:textAlignment w:val="auto"/>
        <w:rPr>
          <w:rFonts w:hint="default" w:ascii="Times New Roman" w:hAnsi="Times New Roman" w:cs="Times New Roman"/>
          <w:b/>
          <w:bCs/>
        </w:rPr>
      </w:pPr>
    </w:p>
    <w:p w14:paraId="15DB0224">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firstLine="420" w:firstLineChars="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b/>
          <w:bCs/>
        </w:rPr>
        <w:t>Figure S</w:t>
      </w:r>
      <w:r>
        <w:rPr>
          <w:rFonts w:hint="eastAsia" w:ascii="Times New Roman" w:hAnsi="Times New Roman" w:eastAsia="宋体" w:cs="Times New Roman"/>
          <w:b/>
          <w:bCs/>
          <w:lang w:val="en-US" w:eastAsia="zh-CN"/>
        </w:rPr>
        <w:t>1</w:t>
      </w:r>
      <w:r>
        <w:rPr>
          <w:rFonts w:hint="default" w:ascii="Times New Roman" w:hAnsi="Times New Roman" w:cs="Times New Roman"/>
          <w:b/>
          <w:bCs/>
        </w:rPr>
        <w:t>.</w:t>
      </w:r>
      <w:r>
        <w:rPr>
          <w:rFonts w:hint="eastAsia" w:eastAsia="宋体" w:cstheme="minorHAnsi"/>
          <w:b/>
          <w:bCs/>
          <w:lang w:val="en-US" w:eastAsia="zh-CN"/>
        </w:rPr>
        <w:t xml:space="preserve"> </w:t>
      </w:r>
      <w:r>
        <w:rPr>
          <w:rFonts w:hint="default" w:ascii="Times New Roman" w:hAnsi="Times New Roman" w:eastAsia="宋体" w:cs="Times New Roman"/>
          <w:b w:val="0"/>
          <w:bCs w:val="0"/>
          <w:sz w:val="24"/>
          <w:szCs w:val="24"/>
          <w:lang w:val="en-US" w:eastAsia="zh-CN"/>
        </w:rPr>
        <w:t>3D representations of protein AFRs predicted by different models on the D24 dataset.</w:t>
      </w:r>
      <w:r>
        <w:rPr>
          <w:rFonts w:hint="eastAsia" w:ascii="Times New Roman" w:hAnsi="Times New Roman" w:eastAsia="宋体" w:cs="Times New Roman"/>
          <w:b w:val="0"/>
          <w:bCs w:val="0"/>
          <w:sz w:val="24"/>
          <w:szCs w:val="24"/>
          <w:lang w:val="en-US" w:eastAsia="zh-CN"/>
        </w:rPr>
        <w:t xml:space="preserve"> Each row, from left to right, displays the experimentally determined AFRs, followed by predictions from AlloFusion, AllositePro, PASSer Rank, PASSer Ensemble, and PASSer Automl. Green indicates the actual allosteric sites composed of AFRs; red, cyan, orange, light yellow, and light blue represent the predicted AFRs by AlloFusion, AllositePro, PASSer Rank, PASSer Ensemble, and PASSer Automl, respectively. Gray represents the cartoon structure of the protein. </w:t>
      </w:r>
      <w:r>
        <w:rPr>
          <w:rFonts w:hint="eastAsia" w:ascii="Times New Roman" w:hAnsi="Times New Roman" w:eastAsia="宋体" w:cs="Times New Roman"/>
          <w:b w:val="0"/>
          <w:bCs w:val="0"/>
          <w:sz w:val="24"/>
          <w:szCs w:val="24"/>
          <w:lang w:val="en-US" w:eastAsia="zh-CN"/>
        </w:rPr>
        <w:t xml:space="preserve">"N/A" </w:t>
      </w:r>
      <w:r>
        <w:rPr>
          <w:rFonts w:hint="eastAsia" w:ascii="Times New Roman" w:hAnsi="Times New Roman" w:eastAsia="宋体" w:cs="Times New Roman"/>
          <w:b w:val="0"/>
          <w:bCs w:val="0"/>
          <w:sz w:val="24"/>
          <w:szCs w:val="24"/>
          <w:lang w:val="en-US" w:eastAsia="zh-CN"/>
        </w:rPr>
        <w:t>denotes cases where no allosteric site is predicted by the corresponding method.</w:t>
      </w:r>
    </w:p>
    <w:p w14:paraId="55732440">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2B7969FA">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24C7C303">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2566D2D8">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2B428823">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24A4B97E">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320CD6E3">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5F42D24D">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258A2303">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46810480">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15383EE7">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39376DB5">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3EFC86A0">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0B4A54E1">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79B27FF1">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2A3544FC">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54A4FF02">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01D83330">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6447E1C3">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7220CBDD">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76AE9E2D">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488CF710">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1"/>
          <w:szCs w:val="21"/>
          <w:lang w:val="en-US" w:eastAsia="zh-CN"/>
        </w:rPr>
      </w:pPr>
    </w:p>
    <w:p w14:paraId="04CB7B75">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right="0"/>
        <w:jc w:val="both"/>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b/>
          <w:bCs/>
          <w:sz w:val="24"/>
          <w:szCs w:val="24"/>
          <w:lang w:val="en-US" w:eastAsia="zh-CN"/>
        </w:rPr>
        <w:t xml:space="preserve">Table S2. </w:t>
      </w:r>
      <w:r>
        <w:rPr>
          <w:rFonts w:hint="eastAsia" w:ascii="Times New Roman" w:hAnsi="Times New Roman" w:eastAsia="黑体" w:cs="Times New Roman"/>
          <w:sz w:val="24"/>
          <w:szCs w:val="24"/>
          <w:lang w:val="en-US" w:eastAsia="zh-CN"/>
        </w:rPr>
        <w:t>Distances between the predicted allosteric site centroids and the actual binding site on D24 using different methods.</w:t>
      </w:r>
    </w:p>
    <w:p w14:paraId="4B334EFC">
      <w:pPr>
        <w:jc w:val="both"/>
        <w:rPr>
          <w:rFonts w:hint="eastAsia" w:eastAsia="宋体" w:cstheme="minorHAnsi"/>
          <w:lang w:eastAsia="zh-CN"/>
        </w:rPr>
      </w:pPr>
      <w:r>
        <w:rPr>
          <w:rFonts w:hint="eastAsia" w:eastAsia="宋体" w:cstheme="minorHAnsi"/>
          <w:lang w:eastAsia="zh-CN"/>
        </w:rPr>
        <w:drawing>
          <wp:inline distT="0" distB="0" distL="114300" distR="114300">
            <wp:extent cx="6070600" cy="5637530"/>
            <wp:effectExtent l="0" t="0" r="0" b="0"/>
            <wp:docPr id="9" name="图片 9" descr="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24"/>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6070600" cy="5637530"/>
                    </a:xfrm>
                    <a:prstGeom prst="rect">
                      <a:avLst/>
                    </a:prstGeom>
                  </pic:spPr>
                </pic:pic>
              </a:graphicData>
            </a:graphic>
          </wp:inline>
        </w:drawing>
      </w:r>
    </w:p>
    <w:p w14:paraId="417858B7">
      <w:pPr>
        <w:jc w:val="both"/>
        <w:rPr>
          <w:rFonts w:hint="default" w:ascii="Times New Roman" w:hAnsi="Times New Roman" w:eastAsia="宋体" w:cs="Times New Roman"/>
          <w:lang w:val="en-US" w:eastAsia="zh-CN"/>
        </w:rPr>
      </w:pPr>
    </w:p>
    <w:p w14:paraId="6B3BE598">
      <w:pPr>
        <w:jc w:val="both"/>
        <w:rPr>
          <w:rFonts w:hint="eastAsia" w:ascii="Times New Roman" w:hAnsi="Times New Roman" w:eastAsia="宋体" w:cs="Times New Roman"/>
          <w:b/>
          <w:bCs/>
          <w:sz w:val="24"/>
          <w:szCs w:val="24"/>
          <w:lang w:val="en-US" w:eastAsia="zh-CN"/>
        </w:rPr>
      </w:pPr>
    </w:p>
    <w:p w14:paraId="69C47991">
      <w:pPr>
        <w:jc w:val="both"/>
        <w:rPr>
          <w:rFonts w:hint="eastAsia" w:ascii="Times New Roman" w:hAnsi="Times New Roman" w:eastAsia="宋体" w:cs="Times New Roman"/>
          <w:b/>
          <w:bCs/>
          <w:sz w:val="24"/>
          <w:szCs w:val="24"/>
          <w:lang w:val="en-US" w:eastAsia="zh-CN"/>
        </w:rPr>
      </w:pPr>
    </w:p>
    <w:p w14:paraId="19707634">
      <w:pPr>
        <w:jc w:val="both"/>
        <w:rPr>
          <w:rFonts w:hint="eastAsia" w:ascii="Times New Roman" w:hAnsi="Times New Roman" w:eastAsia="宋体" w:cs="Times New Roman"/>
          <w:b/>
          <w:bCs/>
          <w:sz w:val="24"/>
          <w:szCs w:val="24"/>
          <w:lang w:val="en-US" w:eastAsia="zh-CN"/>
        </w:rPr>
      </w:pPr>
    </w:p>
    <w:p w14:paraId="7DF7C81D">
      <w:pPr>
        <w:jc w:val="both"/>
        <w:rPr>
          <w:rFonts w:hint="eastAsia" w:ascii="Times New Roman" w:hAnsi="Times New Roman" w:eastAsia="宋体" w:cs="Times New Roman"/>
          <w:b/>
          <w:bCs/>
          <w:sz w:val="24"/>
          <w:szCs w:val="24"/>
          <w:lang w:val="en-US" w:eastAsia="zh-CN"/>
        </w:rPr>
      </w:pPr>
    </w:p>
    <w:p w14:paraId="7A9F7446">
      <w:pPr>
        <w:jc w:val="both"/>
        <w:rPr>
          <w:rFonts w:hint="eastAsia" w:ascii="Times New Roman" w:hAnsi="Times New Roman" w:eastAsia="宋体" w:cs="Times New Roman"/>
          <w:b/>
          <w:bCs/>
          <w:sz w:val="24"/>
          <w:szCs w:val="24"/>
          <w:lang w:val="en-US" w:eastAsia="zh-CN"/>
        </w:rPr>
      </w:pPr>
    </w:p>
    <w:p w14:paraId="36EA10C5">
      <w:pPr>
        <w:jc w:val="both"/>
        <w:rPr>
          <w:rFonts w:hint="eastAsia" w:ascii="Times New Roman" w:hAnsi="Times New Roman" w:eastAsia="宋体" w:cs="Times New Roman"/>
          <w:b/>
          <w:bCs/>
          <w:sz w:val="24"/>
          <w:szCs w:val="24"/>
          <w:lang w:val="en-US" w:eastAsia="zh-CN"/>
        </w:rPr>
      </w:pPr>
    </w:p>
    <w:p w14:paraId="690B82B0">
      <w:pPr>
        <w:jc w:val="both"/>
        <w:rPr>
          <w:rFonts w:hint="eastAsia" w:ascii="Times New Roman" w:hAnsi="Times New Roman" w:eastAsia="宋体" w:cs="Times New Roman"/>
          <w:b/>
          <w:bCs/>
          <w:sz w:val="24"/>
          <w:szCs w:val="24"/>
          <w:lang w:val="en-US" w:eastAsia="zh-CN"/>
        </w:rPr>
      </w:pPr>
    </w:p>
    <w:p w14:paraId="0B486549">
      <w:pPr>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Table S3.  </w:t>
      </w:r>
      <w:r>
        <w:rPr>
          <w:rFonts w:hint="eastAsia" w:ascii="Times New Roman" w:hAnsi="Times New Roman" w:eastAsia="宋体" w:cs="Times New Roman"/>
          <w:b w:val="0"/>
          <w:bCs w:val="0"/>
          <w:sz w:val="24"/>
          <w:szCs w:val="24"/>
          <w:lang w:val="en-US" w:eastAsia="zh-CN"/>
        </w:rPr>
        <w:t>Key parameters set in LoRAConfig for fine-tuning the ProtT5 model.</w:t>
      </w:r>
    </w:p>
    <w:tbl>
      <w:tblPr>
        <w:tblStyle w:val="10"/>
        <w:tblW w:w="528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3"/>
        <w:gridCol w:w="2087"/>
        <w:gridCol w:w="5407"/>
      </w:tblGrid>
      <w:tr w14:paraId="539B5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1163" w:type="pct"/>
            <w:shd w:val="clear" w:color="auto" w:fill="D7D7D7" w:themeFill="background1" w:themeFillShade="D8"/>
            <w:vAlign w:val="center"/>
          </w:tcPr>
          <w:p w14:paraId="204AABBD">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b/>
                <w:bCs/>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b/>
                <w:bCs/>
                <w:i w:val="0"/>
                <w:iCs w:val="0"/>
                <w:caps w:val="0"/>
                <w:color w:val="000000" w:themeColor="text1"/>
                <w:spacing w:val="0"/>
                <w:sz w:val="21"/>
                <w:szCs w:val="21"/>
                <w:vertAlign w:val="baseline"/>
                <w:lang w:val="en-US" w:eastAsia="zh-CN"/>
                <w14:textFill>
                  <w14:solidFill>
                    <w14:schemeClr w14:val="tx1"/>
                  </w14:solidFill>
                </w14:textFill>
              </w:rPr>
              <w:t>Parameters</w:t>
            </w:r>
          </w:p>
        </w:tc>
        <w:tc>
          <w:tcPr>
            <w:tcW w:w="1068" w:type="pct"/>
            <w:shd w:val="clear" w:color="auto" w:fill="D7D7D7" w:themeFill="background1" w:themeFillShade="D8"/>
            <w:vAlign w:val="center"/>
          </w:tcPr>
          <w:p w14:paraId="24BD69AE">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default" w:ascii="Times New Roman" w:hAnsi="Times New Roman" w:cs="Times New Roman"/>
                <w:b/>
                <w:bCs/>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b/>
                <w:bCs/>
                <w:i w:val="0"/>
                <w:iCs w:val="0"/>
                <w:caps w:val="0"/>
                <w:color w:val="000000" w:themeColor="text1"/>
                <w:spacing w:val="0"/>
                <w:sz w:val="21"/>
                <w:szCs w:val="21"/>
                <w:vertAlign w:val="baseline"/>
                <w:lang w:val="en-US" w:eastAsia="zh-CN"/>
                <w14:textFill>
                  <w14:solidFill>
                    <w14:schemeClr w14:val="tx1"/>
                  </w14:solidFill>
                </w14:textFill>
              </w:rPr>
              <w:t>Settings</w:t>
            </w:r>
          </w:p>
        </w:tc>
        <w:tc>
          <w:tcPr>
            <w:tcW w:w="2767" w:type="pct"/>
            <w:shd w:val="clear" w:color="auto" w:fill="D7D7D7" w:themeFill="background1" w:themeFillShade="D8"/>
            <w:vAlign w:val="center"/>
          </w:tcPr>
          <w:p w14:paraId="2B1E8953">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eastAsia" w:ascii="Times New Roman" w:hAnsi="Times New Roman" w:cs="Times New Roman"/>
                <w:b/>
                <w:bCs/>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b/>
                <w:bCs/>
                <w:i w:val="0"/>
                <w:iCs w:val="0"/>
                <w:caps w:val="0"/>
                <w:color w:val="000000" w:themeColor="text1"/>
                <w:spacing w:val="0"/>
                <w:sz w:val="21"/>
                <w:szCs w:val="21"/>
                <w:vertAlign w:val="baseline"/>
                <w:lang w:val="en-US" w:eastAsia="zh-CN"/>
                <w14:textFill>
                  <w14:solidFill>
                    <w14:schemeClr w14:val="tx1"/>
                  </w14:solidFill>
                </w14:textFill>
              </w:rPr>
              <w:t>Rationale for Selection</w:t>
            </w:r>
          </w:p>
        </w:tc>
      </w:tr>
      <w:tr w14:paraId="0C0E1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163" w:type="pct"/>
            <w:vAlign w:val="center"/>
          </w:tcPr>
          <w:p w14:paraId="2E6686C9">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lora_rank</w:t>
            </w:r>
          </w:p>
        </w:tc>
        <w:tc>
          <w:tcPr>
            <w:tcW w:w="1068" w:type="pct"/>
            <w:vAlign w:val="center"/>
          </w:tcPr>
          <w:p w14:paraId="40FDD705">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4</w:t>
            </w:r>
          </w:p>
        </w:tc>
        <w:tc>
          <w:tcPr>
            <w:tcW w:w="2767" w:type="pct"/>
            <w:vAlign w:val="center"/>
          </w:tcPr>
          <w:p w14:paraId="389F7DF5">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Reduces the number of trainable parameters to ensure a balance between performance and computational efficiency.</w:t>
            </w:r>
          </w:p>
        </w:tc>
      </w:tr>
      <w:tr w14:paraId="67D75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163" w:type="pct"/>
            <w:vAlign w:val="center"/>
          </w:tcPr>
          <w:p w14:paraId="4431C673">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lora_init_scale</w:t>
            </w:r>
          </w:p>
        </w:tc>
        <w:tc>
          <w:tcPr>
            <w:tcW w:w="1068" w:type="pct"/>
            <w:vAlign w:val="center"/>
          </w:tcPr>
          <w:p w14:paraId="44D6B25F">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0.01</w:t>
            </w:r>
          </w:p>
        </w:tc>
        <w:tc>
          <w:tcPr>
            <w:tcW w:w="2767" w:type="pct"/>
            <w:vAlign w:val="center"/>
          </w:tcPr>
          <w:p w14:paraId="54A554EE">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Small-scale initialization prevents gradient explosion and maintains training stability.</w:t>
            </w:r>
          </w:p>
        </w:tc>
      </w:tr>
      <w:tr w14:paraId="10C23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163" w:type="pct"/>
            <w:vAlign w:val="center"/>
          </w:tcPr>
          <w:p w14:paraId="7CA24658">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lora_modules</w:t>
            </w:r>
          </w:p>
        </w:tc>
        <w:tc>
          <w:tcPr>
            <w:tcW w:w="1068" w:type="pct"/>
            <w:vAlign w:val="center"/>
          </w:tcPr>
          <w:p w14:paraId="326DB54D">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.*SelfAttention|.*EncDecAttention</w:t>
            </w:r>
          </w:p>
        </w:tc>
        <w:tc>
          <w:tcPr>
            <w:tcW w:w="2767" w:type="pct"/>
            <w:vAlign w:val="center"/>
          </w:tcPr>
          <w:p w14:paraId="655F41FA">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rightChars="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Focuses fine-tuning on attention layers to better capture long-range dependencies relevant to allosteric site recognition.</w:t>
            </w:r>
          </w:p>
        </w:tc>
      </w:tr>
      <w:tr w14:paraId="57E88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163" w:type="pct"/>
            <w:vAlign w:val="center"/>
          </w:tcPr>
          <w:p w14:paraId="2C3E17AA">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lora_layers</w:t>
            </w:r>
          </w:p>
        </w:tc>
        <w:tc>
          <w:tcPr>
            <w:tcW w:w="1068" w:type="pct"/>
            <w:vAlign w:val="center"/>
          </w:tcPr>
          <w:p w14:paraId="646B7B54">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q|k|v|o</w:t>
            </w:r>
          </w:p>
        </w:tc>
        <w:tc>
          <w:tcPr>
            <w:tcW w:w="2767" w:type="pct"/>
            <w:vAlign w:val="center"/>
          </w:tcPr>
          <w:p w14:paraId="584038DE">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Covers all components of the attention mechanism, enhancing the model’s ability to learn both local and global information.</w:t>
            </w:r>
          </w:p>
        </w:tc>
      </w:tr>
      <w:tr w14:paraId="532F3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163" w:type="pct"/>
            <w:vAlign w:val="center"/>
          </w:tcPr>
          <w:p w14:paraId="467AE5C5">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lang w:val="en-US" w:eastAsia="zh-CN"/>
                <w14:textFill>
                  <w14:solidFill>
                    <w14:schemeClr w14:val="tx1"/>
                  </w14:solidFill>
                </w14:textFill>
              </w:rPr>
              <w:t>trainable_param_names</w:t>
            </w:r>
          </w:p>
        </w:tc>
        <w:tc>
          <w:tcPr>
            <w:tcW w:w="1068" w:type="pct"/>
            <w:vAlign w:val="center"/>
          </w:tcPr>
          <w:p w14:paraId="7CE49BF6">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.*layer_norm.*|.*lora_[ab].*</w:t>
            </w:r>
          </w:p>
        </w:tc>
        <w:tc>
          <w:tcPr>
            <w:tcW w:w="2767" w:type="pct"/>
            <w:vAlign w:val="center"/>
          </w:tcPr>
          <w:p w14:paraId="3D8B0617">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Restricts fine-tuning to LoRA and LayerNorm layers, reducing computational overhead.</w:t>
            </w:r>
          </w:p>
        </w:tc>
      </w:tr>
      <w:tr w14:paraId="1DA6B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163" w:type="pct"/>
            <w:vAlign w:val="center"/>
          </w:tcPr>
          <w:p w14:paraId="40C6CC1C">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olor w:val="000000" w:themeColor="text1"/>
                <w:spacing w:val="0"/>
                <w:sz w:val="21"/>
                <w:szCs w:val="21"/>
                <w:lang w:val="en-US" w:eastAsia="zh-CN"/>
                <w14:textFill>
                  <w14:solidFill>
                    <w14:schemeClr w14:val="tx1"/>
                  </w14:solidFill>
                </w14:textFill>
              </w:rPr>
            </w:pPr>
            <w:r>
              <w:rPr>
                <w:rFonts w:hint="eastAsia" w:ascii="Times New Roman" w:hAnsi="Times New Roman" w:cs="Times New Roman"/>
                <w:i w:val="0"/>
                <w:iCs w:val="0"/>
                <w:color w:val="000000" w:themeColor="text1"/>
                <w:spacing w:val="0"/>
                <w:sz w:val="21"/>
                <w:szCs w:val="21"/>
                <w:lang w:val="en-US" w:eastAsia="zh-CN"/>
                <w14:textFill>
                  <w14:solidFill>
                    <w14:schemeClr w14:val="tx1"/>
                  </w14:solidFill>
                </w14:textFill>
              </w:rPr>
              <w:t>lora_scaling_rank</w:t>
            </w:r>
          </w:p>
        </w:tc>
        <w:tc>
          <w:tcPr>
            <w:tcW w:w="1068" w:type="pct"/>
            <w:vAlign w:val="center"/>
          </w:tcPr>
          <w:p w14:paraId="76C31D2D">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default"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1</w:t>
            </w:r>
          </w:p>
        </w:tc>
        <w:tc>
          <w:tcPr>
            <w:tcW w:w="2767" w:type="pct"/>
            <w:vAlign w:val="center"/>
          </w:tcPr>
          <w:p w14:paraId="0D304FB2">
            <w:pPr>
              <w:pStyle w:val="7"/>
              <w:keepNext w:val="0"/>
              <w:keepLines w:val="0"/>
              <w:pageBreakBefore w:val="0"/>
              <w:widowControl/>
              <w:suppressLineNumbers w:val="0"/>
              <w:kinsoku/>
              <w:wordWrap/>
              <w:overflowPunct/>
              <w:topLinePunct w:val="0"/>
              <w:autoSpaceDE/>
              <w:autoSpaceDN/>
              <w:bidi w:val="0"/>
              <w:adjustRightInd/>
              <w:snapToGrid/>
              <w:spacing w:beforeAutospacing="0" w:after="0" w:afterAutospacing="0" w:line="360" w:lineRule="auto"/>
              <w:ind w:right="0"/>
              <w:jc w:val="left"/>
              <w:textAlignment w:val="auto"/>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pPr>
            <w:r>
              <w:rPr>
                <w:rFonts w:hint="eastAsia" w:ascii="Times New Roman" w:hAnsi="Times New Roman" w:cs="Times New Roman"/>
                <w:i w:val="0"/>
                <w:iCs w:val="0"/>
                <w:caps w:val="0"/>
                <w:color w:val="000000" w:themeColor="text1"/>
                <w:spacing w:val="0"/>
                <w:sz w:val="21"/>
                <w:szCs w:val="21"/>
                <w:vertAlign w:val="baseline"/>
                <w:lang w:val="en-US" w:eastAsia="zh-CN"/>
                <w14:textFill>
                  <w14:solidFill>
                    <w14:schemeClr w14:val="tx1"/>
                  </w14:solidFill>
                </w14:textFill>
              </w:rPr>
              <w:t>Maintains stable parameter updates and accommodates small-scale LoRA adjustments.</w:t>
            </w:r>
          </w:p>
        </w:tc>
      </w:tr>
    </w:tbl>
    <w:p w14:paraId="0B59D17A">
      <w:pPr>
        <w:jc w:val="both"/>
        <w:rPr>
          <w:rFonts w:hint="default" w:ascii="Times New Roman" w:hAnsi="Times New Roman" w:eastAsia="宋体" w:cs="Times New Roman"/>
          <w:b/>
          <w:bCs/>
          <w:sz w:val="24"/>
          <w:szCs w:val="24"/>
          <w:lang w:val="en-US" w:eastAsia="zh-CN"/>
        </w:rPr>
      </w:pPr>
    </w:p>
    <w:p w14:paraId="35810819">
      <w:pPr>
        <w:jc w:val="both"/>
        <w:rPr>
          <w:rFonts w:hint="default" w:ascii="Times New Roman" w:hAnsi="Times New Roman" w:eastAsia="宋体" w:cs="Times New Roman"/>
          <w:b/>
          <w:bCs/>
          <w:sz w:val="24"/>
          <w:szCs w:val="24"/>
          <w:lang w:val="en-US" w:eastAsia="zh-CN"/>
        </w:rPr>
      </w:pPr>
      <w:bookmarkStart w:id="0" w:name="_GoBack"/>
      <w:bookmarkEnd w:id="0"/>
    </w:p>
    <w:p w14:paraId="2F65FE60">
      <w:pPr>
        <w:jc w:val="both"/>
        <w:rPr>
          <w:rFonts w:hint="default" w:ascii="Times New Roman" w:hAnsi="Times New Roman" w:eastAsia="宋体" w:cs="Times New Roman"/>
          <w:b/>
          <w:bCs/>
          <w:sz w:val="24"/>
          <w:szCs w:val="24"/>
          <w:lang w:val="en-US" w:eastAsia="zh-CN"/>
        </w:rPr>
      </w:pPr>
    </w:p>
    <w:p w14:paraId="0BA11B95">
      <w:pPr>
        <w:jc w:val="both"/>
        <w:rPr>
          <w:rFonts w:hint="default" w:ascii="Times New Roman" w:hAnsi="Times New Roman" w:eastAsia="宋体" w:cs="Times New Roman"/>
          <w:b/>
          <w:bCs/>
          <w:sz w:val="24"/>
          <w:szCs w:val="24"/>
          <w:lang w:val="en-US" w:eastAsia="zh-CN"/>
        </w:rPr>
      </w:pPr>
    </w:p>
    <w:sectPr>
      <w:footerReference r:id="rId5" w:type="default"/>
      <w:pgSz w:w="11906" w:h="16838"/>
      <w:pgMar w:top="1440" w:right="1440" w:bottom="1440" w:left="1440" w:header="708" w:footer="708" w:gutter="0"/>
      <w:pgBorders>
        <w:top w:val="none" w:sz="0" w:space="0"/>
        <w:left w:val="none" w:sz="0" w:space="0"/>
        <w:bottom w:val="none" w:sz="0" w:space="0"/>
        <w:right w:val="none" w:sz="0" w:space="0"/>
      </w:pgBorders>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P Simplified Hans">
    <w:panose1 w:val="020B0500000000000000"/>
    <w:charset w:val="86"/>
    <w:family w:val="auto"/>
    <w:pitch w:val="default"/>
    <w:sig w:usb0="A00002BF" w:usb1="38CF7CFA" w:usb2="00000016" w:usb3="00000000" w:csb0="2004011D" w:csb1="41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5C7677">
    <w:pPr>
      <w:pStyle w:val="5"/>
      <w:jc w:val="right"/>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75330"/>
                            <w:docPartObj>
                              <w:docPartGallery w:val="autotext"/>
                            </w:docPartObj>
                          </w:sdtPr>
                          <w:sdtContent>
                            <w:p w14:paraId="03AE1637">
                              <w:pPr>
                                <w:pStyle w:val="5"/>
                                <w:jc w:val="right"/>
                              </w:pPr>
                              <w:r>
                                <w:fldChar w:fldCharType="begin"/>
                              </w:r>
                              <w:r>
                                <w:instrText xml:space="preserve">PAGE   \* MERGEFORMAT</w:instrText>
                              </w:r>
                              <w:r>
                                <w:fldChar w:fldCharType="separate"/>
                              </w:r>
                              <w:r>
                                <w:rPr>
                                  <w:lang w:val="hr-HR"/>
                                </w:rPr>
                                <w:t>2</w:t>
                              </w:r>
                              <w:r>
                                <w:fldChar w:fldCharType="end"/>
                              </w:r>
                            </w:p>
                          </w:sdtContent>
                        </w:sdt>
                        <w:p w14:paraId="7B072381"/>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pVbcAgAAJ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CvwKVW3AIAACQGAAAOAAAAAAAAAAEAIAAAAB8BAABkcnMvZTJvRG9jLnhtbFBLBQYA&#10;AAAABgAGAFkBAABtBgAAAAA=&#10;">
              <v:fill on="f" focussize="0,0"/>
              <v:stroke on="f" weight="0.5pt"/>
              <v:imagedata o:title=""/>
              <o:lock v:ext="edit" aspectratio="f"/>
              <v:textbox inset="0mm,0mm,0mm,0mm" style="mso-fit-shape-to-text:t;">
                <w:txbxContent>
                  <w:sdt>
                    <w:sdtPr>
                      <w:id w:val="147475330"/>
                      <w:docPartObj>
                        <w:docPartGallery w:val="autotext"/>
                      </w:docPartObj>
                    </w:sdtPr>
                    <w:sdtContent>
                      <w:p w14:paraId="03AE1637">
                        <w:pPr>
                          <w:pStyle w:val="5"/>
                          <w:jc w:val="right"/>
                        </w:pPr>
                        <w:r>
                          <w:fldChar w:fldCharType="begin"/>
                        </w:r>
                        <w:r>
                          <w:instrText xml:space="preserve">PAGE   \* MERGEFORMAT</w:instrText>
                        </w:r>
                        <w:r>
                          <w:fldChar w:fldCharType="separate"/>
                        </w:r>
                        <w:r>
                          <w:rPr>
                            <w:lang w:val="hr-HR"/>
                          </w:rPr>
                          <w:t>2</w:t>
                        </w:r>
                        <w:r>
                          <w:fldChar w:fldCharType="end"/>
                        </w:r>
                      </w:p>
                    </w:sdtContent>
                  </w:sdt>
                  <w:p w14:paraId="7B072381"/>
                </w:txbxContent>
              </v:textbox>
            </v:shape>
          </w:pict>
        </mc:Fallback>
      </mc:AlternateContent>
    </w:r>
  </w:p>
  <w:p w14:paraId="0ACFA381">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FkMGY4YzI1ZDNkMjcxZThhMzY5NDg5YmE2NDlmZGYifQ=="/>
    <w:docVar w:name="KSO_WPS_MARK_KEY" w:val="07fefb02-3ee4-4193-be96-339f2f827104"/>
  </w:docVars>
  <w:rsids>
    <w:rsidRoot w:val="008059E6"/>
    <w:rsid w:val="0002104F"/>
    <w:rsid w:val="0002307B"/>
    <w:rsid w:val="00082EB6"/>
    <w:rsid w:val="000E4C03"/>
    <w:rsid w:val="0019711F"/>
    <w:rsid w:val="001D6114"/>
    <w:rsid w:val="002710CF"/>
    <w:rsid w:val="002C1F30"/>
    <w:rsid w:val="00357568"/>
    <w:rsid w:val="003924F3"/>
    <w:rsid w:val="004357E3"/>
    <w:rsid w:val="004A5668"/>
    <w:rsid w:val="0053234B"/>
    <w:rsid w:val="005568CE"/>
    <w:rsid w:val="0056217E"/>
    <w:rsid w:val="00587EF5"/>
    <w:rsid w:val="005D0D18"/>
    <w:rsid w:val="006071C5"/>
    <w:rsid w:val="00684BD3"/>
    <w:rsid w:val="00761E45"/>
    <w:rsid w:val="007900D5"/>
    <w:rsid w:val="008059E6"/>
    <w:rsid w:val="00827D97"/>
    <w:rsid w:val="0090514A"/>
    <w:rsid w:val="00971162"/>
    <w:rsid w:val="009970BA"/>
    <w:rsid w:val="00AA22B6"/>
    <w:rsid w:val="00B44E6D"/>
    <w:rsid w:val="00B82704"/>
    <w:rsid w:val="00C06CB5"/>
    <w:rsid w:val="00C44C8F"/>
    <w:rsid w:val="00C85673"/>
    <w:rsid w:val="00CF60CD"/>
    <w:rsid w:val="00D12287"/>
    <w:rsid w:val="00D55F86"/>
    <w:rsid w:val="00D575AD"/>
    <w:rsid w:val="00D66D2C"/>
    <w:rsid w:val="00D73484"/>
    <w:rsid w:val="00E75AC2"/>
    <w:rsid w:val="00F93D01"/>
    <w:rsid w:val="01FB05A8"/>
    <w:rsid w:val="036723B1"/>
    <w:rsid w:val="04C27B5A"/>
    <w:rsid w:val="05C87D8C"/>
    <w:rsid w:val="094E1187"/>
    <w:rsid w:val="099929C0"/>
    <w:rsid w:val="0A3941D9"/>
    <w:rsid w:val="0AB022DD"/>
    <w:rsid w:val="0C3419BE"/>
    <w:rsid w:val="0DC52981"/>
    <w:rsid w:val="111A0C9A"/>
    <w:rsid w:val="12172115"/>
    <w:rsid w:val="12751C80"/>
    <w:rsid w:val="17005BD5"/>
    <w:rsid w:val="1A197F1C"/>
    <w:rsid w:val="1A8602DA"/>
    <w:rsid w:val="1C0F267C"/>
    <w:rsid w:val="1E3C64F5"/>
    <w:rsid w:val="24936E0B"/>
    <w:rsid w:val="24D133E0"/>
    <w:rsid w:val="263E40EA"/>
    <w:rsid w:val="27B66E69"/>
    <w:rsid w:val="2D6329A9"/>
    <w:rsid w:val="2F140F31"/>
    <w:rsid w:val="320757E7"/>
    <w:rsid w:val="347119C4"/>
    <w:rsid w:val="348A469E"/>
    <w:rsid w:val="39674718"/>
    <w:rsid w:val="3BCF6241"/>
    <w:rsid w:val="419F348D"/>
    <w:rsid w:val="427D40B5"/>
    <w:rsid w:val="43C45F85"/>
    <w:rsid w:val="44FD19C2"/>
    <w:rsid w:val="47FF0B70"/>
    <w:rsid w:val="4BD13726"/>
    <w:rsid w:val="4E197CEA"/>
    <w:rsid w:val="59CA59DA"/>
    <w:rsid w:val="59EA7E2A"/>
    <w:rsid w:val="5E445881"/>
    <w:rsid w:val="604E364E"/>
    <w:rsid w:val="614D2815"/>
    <w:rsid w:val="61A13A37"/>
    <w:rsid w:val="64B240AA"/>
    <w:rsid w:val="64D910C3"/>
    <w:rsid w:val="678C3485"/>
    <w:rsid w:val="68543DC2"/>
    <w:rsid w:val="6D8D0DA1"/>
    <w:rsid w:val="6E8B66AE"/>
    <w:rsid w:val="75554583"/>
    <w:rsid w:val="7A2F6BE4"/>
    <w:rsid w:val="7B7E13A7"/>
    <w:rsid w:val="7CF70CF0"/>
    <w:rsid w:val="7F2350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GB" w:eastAsia="en-US" w:bidi="ar-SA"/>
      <w14:ligatures w14:val="standardContextual"/>
    </w:rPr>
  </w:style>
  <w:style w:type="paragraph" w:styleId="2">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15"/>
    <w:semiHidden/>
    <w:unhideWhenUsed/>
    <w:qFormat/>
    <w:uiPriority w:val="99"/>
    <w:pPr>
      <w:spacing w:line="240" w:lineRule="auto"/>
    </w:pPr>
    <w:rPr>
      <w:sz w:val="20"/>
      <w:szCs w:val="20"/>
    </w:rPr>
  </w:style>
  <w:style w:type="paragraph" w:styleId="4">
    <w:name w:val="Balloon Text"/>
    <w:basedOn w:val="1"/>
    <w:link w:val="17"/>
    <w:semiHidden/>
    <w:unhideWhenUsed/>
    <w:qFormat/>
    <w:uiPriority w:val="99"/>
    <w:pPr>
      <w:spacing w:after="0" w:line="240" w:lineRule="auto"/>
    </w:pPr>
    <w:rPr>
      <w:rFonts w:ascii="Segoe UI" w:hAnsi="Segoe UI" w:cs="Segoe UI"/>
      <w:sz w:val="18"/>
      <w:szCs w:val="18"/>
    </w:rPr>
  </w:style>
  <w:style w:type="paragraph" w:styleId="5">
    <w:name w:val="footer"/>
    <w:basedOn w:val="1"/>
    <w:link w:val="20"/>
    <w:unhideWhenUsed/>
    <w:qFormat/>
    <w:uiPriority w:val="99"/>
    <w:pPr>
      <w:tabs>
        <w:tab w:val="center" w:pos="4513"/>
        <w:tab w:val="right" w:pos="9026"/>
      </w:tabs>
      <w:spacing w:after="0" w:line="240" w:lineRule="auto"/>
    </w:pPr>
  </w:style>
  <w:style w:type="paragraph" w:styleId="6">
    <w:name w:val="header"/>
    <w:basedOn w:val="1"/>
    <w:link w:val="19"/>
    <w:unhideWhenUsed/>
    <w:qFormat/>
    <w:uiPriority w:val="99"/>
    <w:pPr>
      <w:tabs>
        <w:tab w:val="center" w:pos="4513"/>
        <w:tab w:val="right" w:pos="9026"/>
      </w:tabs>
      <w:spacing w:after="0" w:line="240" w:lineRule="auto"/>
    </w:pPr>
  </w:style>
  <w:style w:type="paragraph" w:styleId="7">
    <w:name w:val="Normal (Web)"/>
    <w:basedOn w:val="1"/>
    <w:qFormat/>
    <w:uiPriority w:val="0"/>
    <w:rPr>
      <w:sz w:val="24"/>
    </w:rPr>
  </w:style>
  <w:style w:type="paragraph" w:styleId="8">
    <w:name w:val="annotation subject"/>
    <w:basedOn w:val="3"/>
    <w:next w:val="3"/>
    <w:link w:val="16"/>
    <w:semiHidden/>
    <w:unhideWhenUsed/>
    <w:qFormat/>
    <w:uiPriority w:val="99"/>
    <w:rPr>
      <w:b/>
      <w:bCs/>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basedOn w:val="11"/>
    <w:unhideWhenUsed/>
    <w:uiPriority w:val="99"/>
    <w:rPr>
      <w:color w:val="0000FF"/>
      <w:u w:val="single"/>
    </w:rPr>
  </w:style>
  <w:style w:type="character" w:styleId="14">
    <w:name w:val="annotation reference"/>
    <w:basedOn w:val="11"/>
    <w:semiHidden/>
    <w:unhideWhenUsed/>
    <w:qFormat/>
    <w:uiPriority w:val="99"/>
    <w:rPr>
      <w:sz w:val="16"/>
      <w:szCs w:val="16"/>
    </w:rPr>
  </w:style>
  <w:style w:type="character" w:customStyle="1" w:styleId="15">
    <w:name w:val="Comment Text Char"/>
    <w:basedOn w:val="11"/>
    <w:link w:val="3"/>
    <w:semiHidden/>
    <w:qFormat/>
    <w:uiPriority w:val="99"/>
    <w:rPr>
      <w:sz w:val="20"/>
      <w:szCs w:val="20"/>
    </w:rPr>
  </w:style>
  <w:style w:type="character" w:customStyle="1" w:styleId="16">
    <w:name w:val="Comment Subject Char"/>
    <w:basedOn w:val="15"/>
    <w:link w:val="8"/>
    <w:semiHidden/>
    <w:qFormat/>
    <w:uiPriority w:val="99"/>
    <w:rPr>
      <w:b/>
      <w:bCs/>
      <w:sz w:val="20"/>
      <w:szCs w:val="20"/>
    </w:rPr>
  </w:style>
  <w:style w:type="character" w:customStyle="1" w:styleId="17">
    <w:name w:val="Balloon Text Char"/>
    <w:basedOn w:val="11"/>
    <w:link w:val="4"/>
    <w:semiHidden/>
    <w:qFormat/>
    <w:uiPriority w:val="99"/>
    <w:rPr>
      <w:rFonts w:ascii="Segoe UI" w:hAnsi="Segoe UI" w:cs="Segoe UI"/>
      <w:sz w:val="18"/>
      <w:szCs w:val="18"/>
    </w:rPr>
  </w:style>
  <w:style w:type="paragraph" w:customStyle="1" w:styleId="18">
    <w:name w:val="Revision"/>
    <w:hidden/>
    <w:semiHidden/>
    <w:qFormat/>
    <w:uiPriority w:val="99"/>
    <w:pPr>
      <w:spacing w:after="0" w:line="240" w:lineRule="auto"/>
    </w:pPr>
    <w:rPr>
      <w:rFonts w:asciiTheme="minorHAnsi" w:hAnsiTheme="minorHAnsi" w:eastAsiaTheme="minorHAnsi" w:cstheme="minorBidi"/>
      <w:kern w:val="2"/>
      <w:sz w:val="22"/>
      <w:szCs w:val="22"/>
      <w:lang w:val="en-GB" w:eastAsia="en-US" w:bidi="ar-SA"/>
      <w14:ligatures w14:val="standardContextual"/>
    </w:rPr>
  </w:style>
  <w:style w:type="character" w:customStyle="1" w:styleId="19">
    <w:name w:val="Header Char"/>
    <w:basedOn w:val="11"/>
    <w:link w:val="6"/>
    <w:qFormat/>
    <w:uiPriority w:val="99"/>
  </w:style>
  <w:style w:type="character" w:customStyle="1" w:styleId="20">
    <w:name w:val="Footer Char"/>
    <w:basedOn w:val="11"/>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8.sv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235</Words>
  <Characters>1311</Characters>
  <Lines>18</Lines>
  <Paragraphs>5</Paragraphs>
  <TotalTime>8</TotalTime>
  <ScaleCrop>false</ScaleCrop>
  <LinksUpToDate>false</LinksUpToDate>
  <CharactersWithSpaces>1417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2023-12-01T09:33:00Z</dcterms:created>
  <dc:creator>Matej Kožić</dc:creator>
  <cp:lastModifiedBy>知否</cp:lastModifiedBy>
  <dcterms:modified xsi:type="dcterms:W3CDTF">2025-04-10T09:04:36Z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E7B5C775A2D94C35879DB21EFE8DDEFD_13</vt:lpwstr>
  </property>
  <property fmtid="{D5CDD505-2E9C-101B-9397-08002B2CF9AE}" pid="4" name="KSOTemplateDocerSaveRecord">
    <vt:lpwstr>eyJoZGlkIjoiNjUwZjhiMjc0ZWEyNWIyNTIzNDE3YjY1ZjBkMGM2YjkiLCJ1c2VySWQiOiIxMjA2NzQ5OTQ1In0=</vt:lpwstr>
  </property>
</Properties>
</file>