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31cde8fd387a15570ce89bd3d9dbd732706ef86"/>
      <w:r>
        <w:t xml:space="preserve">Asia-Pacific Syndicated Loan Tracker — Briefing &amp; Deep Dive</w:t>
      </w:r>
      <w:bookmarkEnd w:id="20"/>
    </w:p>
    <w:p>
      <w:pPr>
        <w:pStyle w:val="FirstParagraph"/>
      </w:pPr>
      <w:r>
        <w:rPr>
          <w:b/>
        </w:rPr>
        <w:t xml:space="preserve">Prepared for:</w:t>
      </w:r>
      <w:r>
        <w:t xml:space="preserve"> </w:t>
      </w:r>
      <w:r>
        <w:t xml:space="preserve">Henry — CTBC Bank internship reading</w:t>
      </w:r>
      <w:r>
        <w:t xml:space="preserve"> </w:t>
      </w:r>
      <w:r>
        <w:rPr>
          <w:b/>
        </w:rPr>
        <w:t xml:space="preserve">Source document:</w:t>
      </w:r>
      <w:r>
        <w:t xml:space="preserve"> </w:t>
      </w:r>
      <w:r>
        <w:t xml:space="preserve">IFR / LSEG LPC Asia-Pacific syndicated loans roundup, lead story</w:t>
      </w:r>
      <w:r>
        <w:t xml:space="preserve"> </w:t>
      </w:r>
      <w:r>
        <w:rPr>
          <w:i/>
        </w:rPr>
        <w:t xml:space="preserve">“</w:t>
      </w:r>
      <w:r>
        <w:rPr>
          <w:i/>
        </w:rPr>
        <w:t xml:space="preserve">Malaysian data centres test lenders</w:t>
      </w:r>
      <w:r>
        <w:rPr>
          <w:i/>
        </w:rPr>
        <w:t xml:space="preserve">”</w:t>
      </w:r>
      <w:r>
        <w:t xml:space="preserve"> </w:t>
      </w:r>
      <w:r>
        <w:t xml:space="preserve">(week of Mon 22 June 2026)</w:t>
      </w:r>
      <w:r>
        <w:t xml:space="preserve"> </w:t>
      </w:r>
      <w:r>
        <w:rPr>
          <w:b/>
        </w:rPr>
        <w:t xml:space="preserve">Date:</w:t>
      </w:r>
      <w:r>
        <w:t xml:space="preserve"> </w:t>
      </w:r>
      <w:r>
        <w:t xml:space="preserve">24 June 2026</w:t>
      </w:r>
      <w:r>
        <w:t xml:space="preserve"> </w:t>
      </w:r>
      <w:r>
        <w:rPr>
          <w:b/>
        </w:rPr>
        <w:t xml:space="preserve">Lens:</w:t>
      </w:r>
      <w:r>
        <w:t xml:space="preserve"> </w:t>
      </w:r>
      <w:r>
        <w:t xml:space="preserve">Taiwan-centric, corporate-banking / loan-syndications angle, with CTBC’s own positioning, pricing trends, and risks</w:t>
      </w:r>
    </w:p>
    <w:p>
      <w:r>
        <w:pict>
          <v:rect style="width:0;height:1.5pt" o:hralign="center" o:hrstd="t" o:hr="t"/>
        </w:pict>
      </w:r>
    </w:p>
    <w:p>
      <w:pPr>
        <w:pStyle w:val="Heading2"/>
      </w:pPr>
      <w:bookmarkStart w:id="21" w:name="the-60-second-rundown"/>
      <w:r>
        <w:t xml:space="preserve">1. The 60-second rundown</w:t>
      </w:r>
      <w:bookmarkEnd w:id="21"/>
    </w:p>
    <w:p>
      <w:pPr>
        <w:pStyle w:val="FirstParagraph"/>
      </w:pPr>
      <w:r>
        <w:t xml:space="preserve">The document you were given is a weekly</w:t>
      </w:r>
      <w:r>
        <w:t xml:space="preserve"> </w:t>
      </w:r>
      <w:r>
        <w:rPr>
          <w:b/>
        </w:rPr>
        <w:t xml:space="preserve">syndicated loan market tracker</w:t>
      </w:r>
      <w:r>
        <w:t xml:space="preserve"> </w:t>
      </w:r>
      <w:r>
        <w:t xml:space="preserve">— a deal sheet that reporters and bankers use to see who is borrowing, how much, from which banks, and on what terms across Asia-Pacific. It is published by IFR (International Financing Review), part of LSEG. Think of it as the</w:t>
      </w:r>
      <w:r>
        <w:t xml:space="preserve"> </w:t>
      </w:r>
      <w:r>
        <w:t xml:space="preserve">“</w:t>
      </w:r>
      <w:r>
        <w:t xml:space="preserve">police scanner</w:t>
      </w:r>
      <w:r>
        <w:t xml:space="preserve">”</w:t>
      </w:r>
      <w:r>
        <w:t xml:space="preserve"> </w:t>
      </w:r>
      <w:r>
        <w:t xml:space="preserve">of the corporate lending market.</w:t>
      </w:r>
    </w:p>
    <w:p>
      <w:pPr>
        <w:pStyle w:val="BodyText"/>
      </w:pPr>
      <w:r>
        <w:t xml:space="preserve">This week the lead story</w:t>
      </w:r>
      <w:r>
        <w:t xml:space="preserve"> </w:t>
      </w:r>
      <w:r>
        <w:rPr>
          <w:b/>
        </w:rPr>
        <w:t xml:space="preserve">rotates</w:t>
      </w:r>
      <w:r>
        <w:t xml:space="preserve"> </w:t>
      </w:r>
      <w:r>
        <w:t xml:space="preserve">away from last week’s Taiwan semiconductor borrowing surge to a new pressure point:</w:t>
      </w:r>
      <w:r>
        <w:t xml:space="preserve"> </w:t>
      </w:r>
      <w:r>
        <w:rPr>
          <w:b/>
        </w:rPr>
        <w:t xml:space="preserve">Malaysia’s data-centre boom — and the strain it is putting on the banks that fund it.</w:t>
      </w:r>
    </w:p>
    <w:p>
      <w:pPr>
        <w:pStyle w:val="BodyText"/>
      </w:pPr>
      <w:r>
        <w:t xml:space="preserve">Three things to take away before any detail:</w:t>
      </w:r>
    </w:p>
    <w:p>
      <w:pPr>
        <w:numPr>
          <w:ilvl w:val="0"/>
          <w:numId w:val="1001"/>
        </w:numPr>
      </w:pPr>
      <w:r>
        <w:rPr>
          <w:b/>
        </w:rPr>
        <w:t xml:space="preserve">Malaysia is now the epicentre of Asia-Pacific data-centre lending.</w:t>
      </w:r>
      <w:r>
        <w:t xml:space="preserve"> </w:t>
      </w:r>
      <w:r>
        <w:t xml:space="preserve">DayOne Data Centres is back in the market for</w:t>
      </w:r>
      <w:r>
        <w:t xml:space="preserve"> </w:t>
      </w:r>
      <w:r>
        <w:rPr>
          <w:b/>
        </w:rPr>
        <w:t xml:space="preserve">~US$3.7bn</w:t>
      </w:r>
      <w:r>
        <w:t xml:space="preserve"> </w:t>
      </w:r>
      <w:r>
        <w:t xml:space="preserve">—</w:t>
      </w:r>
      <w:r>
        <w:t xml:space="preserve"> </w:t>
      </w:r>
      <w:r>
        <w:rPr>
          <w:i/>
        </w:rPr>
        <w:t xml:space="preserve">bigger</w:t>
      </w:r>
      <w:r>
        <w:t xml:space="preserve"> </w:t>
      </w:r>
      <w:r>
        <w:t xml:space="preserve">than the ~US$3.5bn it closed only a year ago — to expand its Johor campuses.</w:t>
      </w:r>
      <w:r>
        <w:t xml:space="preserve"> </w:t>
      </w:r>
      <w:r>
        <w:rPr>
          <w:b/>
        </w:rPr>
        <w:t xml:space="preserve">AirTrunk</w:t>
      </w:r>
      <w:r>
        <w:t xml:space="preserve"> </w:t>
      </w:r>
      <w:r>
        <w:t xml:space="preserve">has launched a</w:t>
      </w:r>
      <w:r>
        <w:t xml:space="preserve"> </w:t>
      </w:r>
      <w:r>
        <w:rPr>
          <w:b/>
        </w:rPr>
        <w:t xml:space="preserve">US$2.325bn</w:t>
      </w:r>
      <w:r>
        <w:t xml:space="preserve"> </w:t>
      </w:r>
      <w:r>
        <w:t xml:space="preserve">project financing for its JHB2 Johor campus, and</w:t>
      </w:r>
      <w:r>
        <w:t xml:space="preserve"> </w:t>
      </w:r>
      <w:r>
        <w:rPr>
          <w:b/>
        </w:rPr>
        <w:t xml:space="preserve">Princeton Digital</w:t>
      </w:r>
      <w:r>
        <w:t xml:space="preserve"> </w:t>
      </w:r>
      <w:r>
        <w:t xml:space="preserve">just closed</w:t>
      </w:r>
      <w:r>
        <w:t xml:space="preserve"> </w:t>
      </w:r>
      <w:r>
        <w:rPr>
          <w:b/>
        </w:rPr>
        <w:t xml:space="preserve">US$456m</w:t>
      </w:r>
      <w:r>
        <w:t xml:space="preserve"> </w:t>
      </w:r>
      <w:r>
        <w:t xml:space="preserve">for a Jakarta campus. 2026’s Malaysian data-centre borrowings are set to blow past the</w:t>
      </w:r>
      <w:r>
        <w:t xml:space="preserve"> </w:t>
      </w:r>
      <w:r>
        <w:rPr>
          <w:b/>
        </w:rPr>
        <w:t xml:space="preserve">US$8bn</w:t>
      </w:r>
      <w:r>
        <w:t xml:space="preserve"> </w:t>
      </w:r>
      <w:r>
        <w:t xml:space="preserve">raised in 2025. At end-2025 Johor had</w:t>
      </w:r>
      <w:r>
        <w:t xml:space="preserve"> </w:t>
      </w:r>
      <w:r>
        <w:rPr>
          <w:b/>
        </w:rPr>
        <w:t xml:space="preserve">over 2GW</w:t>
      </w:r>
      <w:r>
        <w:t xml:space="preserve"> </w:t>
      </w:r>
      <w:r>
        <w:t xml:space="preserve">of capacity planned — the largest in Asia-Pacific (Cushman &amp; Wakefield).</w:t>
      </w:r>
    </w:p>
    <w:p>
      <w:pPr>
        <w:numPr>
          <w:ilvl w:val="0"/>
          <w:numId w:val="1001"/>
        </w:numPr>
      </w:pPr>
      <w:r>
        <w:rPr>
          <w:b/>
        </w:rPr>
        <w:t xml:space="preserve">This is a</w:t>
      </w:r>
      <w:r>
        <w:rPr>
          <w:b/>
        </w:rPr>
        <w:t xml:space="preserve"> </w:t>
      </w:r>
      <w:r>
        <w:rPr>
          <w:i/>
          <w:b/>
        </w:rPr>
        <w:t xml:space="preserve">lender</w:t>
      </w:r>
      <w:r>
        <w:rPr>
          <w:b/>
        </w:rPr>
        <w:t xml:space="preserve"> </w:t>
      </w:r>
      <w:r>
        <w:rPr>
          <w:b/>
        </w:rPr>
        <w:t xml:space="preserve">story, not just a borrower story.</w:t>
      </w:r>
      <w:r>
        <w:t xml:space="preserve"> </w:t>
      </w:r>
      <w:r>
        <w:t xml:space="preserve">The striking thing in the report is not the demand — it’s that</w:t>
      </w:r>
      <w:r>
        <w:t xml:space="preserve"> </w:t>
      </w:r>
      <w:r>
        <w:rPr>
          <w:b/>
        </w:rPr>
        <w:t xml:space="preserve">banks are running out of room to lend.</w:t>
      </w:r>
      <w:r>
        <w:t xml:space="preserve"> </w:t>
      </w:r>
      <w:r>
        <w:t xml:space="preserve">The same</w:t>
      </w:r>
      <w:r>
        <w:t xml:space="preserve"> </w:t>
      </w:r>
      <w:r>
        <w:rPr>
          <w:b/>
        </w:rPr>
        <w:t xml:space="preserve">seven</w:t>
      </w:r>
      <w:r>
        <w:t xml:space="preserve"> </w:t>
      </w:r>
      <w:r>
        <w:t xml:space="preserve">US and Asian</w:t>
      </w:r>
      <w:r>
        <w:t xml:space="preserve"> </w:t>
      </w:r>
      <w:r>
        <w:t xml:space="preserve">“</w:t>
      </w:r>
      <w:r>
        <w:t xml:space="preserve">hyperscaler</w:t>
      </w:r>
      <w:r>
        <w:t xml:space="preserve">”</w:t>
      </w:r>
      <w:r>
        <w:t xml:space="preserve"> </w:t>
      </w:r>
      <w:r>
        <w:t xml:space="preserve">tenants keep showing up as the customers (offtakers) behind every campus, so banks are hitting their internal and regulatory</w:t>
      </w:r>
      <w:r>
        <w:t xml:space="preserve"> </w:t>
      </w:r>
      <w:r>
        <w:rPr>
          <w:b/>
        </w:rPr>
        <w:t xml:space="preserve">exposure limits</w:t>
      </w:r>
      <w:r>
        <w:t xml:space="preserve"> </w:t>
      </w:r>
      <w:r>
        <w:t xml:space="preserve">on single names, sectors and countries at once. Loan-to-cost ratios are creeping above</w:t>
      </w:r>
      <w:r>
        <w:t xml:space="preserve"> </w:t>
      </w:r>
      <w:r>
        <w:rPr>
          <w:b/>
        </w:rPr>
        <w:t xml:space="preserve">90%</w:t>
      </w:r>
      <w:r>
        <w:t xml:space="preserve">, covenants are being watered down, and — crucially — bankers say that while data-centre pricing has risen in the US and Europe,</w:t>
      </w:r>
      <w:r>
        <w:t xml:space="preserve"> </w:t>
      </w:r>
      <w:r>
        <w:rPr>
          <w:b/>
        </w:rPr>
        <w:t xml:space="preserve">“</w:t>
      </w:r>
      <w:r>
        <w:rPr>
          <w:b/>
        </w:rPr>
        <w:t xml:space="preserve">in Asia it hasn’t.</w:t>
      </w:r>
      <w:r>
        <w:rPr>
          <w:b/>
        </w:rPr>
        <w:t xml:space="preserve">”</w:t>
      </w:r>
      <w:r>
        <w:t xml:space="preserve"> </w:t>
      </w:r>
      <w:r>
        <w:t xml:space="preserve">Risk is going up; the spread paid for it is not.</w:t>
      </w:r>
    </w:p>
    <w:p>
      <w:pPr>
        <w:numPr>
          <w:ilvl w:val="0"/>
          <w:numId w:val="1001"/>
        </w:numPr>
      </w:pPr>
      <w:r>
        <w:rPr>
          <w:b/>
        </w:rPr>
        <w:t xml:space="preserve">CTBC’s fingerprints are unusually visible this week — on the</w:t>
      </w:r>
      <w:r>
        <w:rPr>
          <w:b/>
        </w:rPr>
        <w:t xml:space="preserve"> </w:t>
      </w:r>
      <w:r>
        <w:rPr>
          <w:i/>
          <w:b/>
        </w:rPr>
        <w:t xml:space="preserve">lead</w:t>
      </w:r>
      <w:r>
        <w:rPr>
          <w:b/>
        </w:rPr>
        <w:t xml:space="preserve"> </w:t>
      </w:r>
      <w:r>
        <w:rPr>
          <w:b/>
        </w:rPr>
        <w:t xml:space="preserve">side.</w:t>
      </w:r>
      <w:r>
        <w:t xml:space="preserve"> </w:t>
      </w:r>
      <w:r>
        <w:t xml:space="preserve">CTBC Bank is the</w:t>
      </w:r>
      <w:r>
        <w:t xml:space="preserve"> </w:t>
      </w:r>
      <w:r>
        <w:rPr>
          <w:b/>
        </w:rPr>
        <w:t xml:space="preserve">lead arranger for SPIL’s NT$40bn half</w:t>
      </w:r>
      <w:r>
        <w:t xml:space="preserve"> </w:t>
      </w:r>
      <w:r>
        <w:t xml:space="preserve">of ASE’s NT$80bn (US$2.52bn) jumbo; CTBC (written</w:t>
      </w:r>
      <w:r>
        <w:t xml:space="preserve"> </w:t>
      </w:r>
      <w:r>
        <w:rPr>
          <w:b/>
        </w:rPr>
        <w:t xml:space="preserve">“</w:t>
      </w:r>
      <w:r>
        <w:rPr>
          <w:b/>
        </w:rPr>
        <w:t xml:space="preserve">CBC Bank</w:t>
      </w:r>
      <w:r>
        <w:rPr>
          <w:b/>
        </w:rPr>
        <w:t xml:space="preserve">”</w:t>
      </w:r>
      <w:r>
        <w:t xml:space="preserve"> </w:t>
      </w:r>
      <w:r>
        <w:t xml:space="preserve">in the report — that is CTBC) is a</w:t>
      </w:r>
      <w:r>
        <w:t xml:space="preserve"> </w:t>
      </w:r>
      <w:r>
        <w:rPr>
          <w:b/>
        </w:rPr>
        <w:t xml:space="preserve">mandated lead arranger on Apollo’s ¥360bn (US$2.25bn) buyout</w:t>
      </w:r>
      <w:r>
        <w:t xml:space="preserve"> </w:t>
      </w:r>
      <w:r>
        <w:t xml:space="preserve">of Nippon Sheet Glass; and CTBC is an existing lead on</w:t>
      </w:r>
      <w:r>
        <w:t xml:space="preserve"> </w:t>
      </w:r>
      <w:r>
        <w:rPr>
          <w:b/>
        </w:rPr>
        <w:t xml:space="preserve">Fitness Passport</w:t>
      </w:r>
      <w:r>
        <w:t xml:space="preserve">, which is now adding A$145m. There’s also a structural CTBC angle worth raising with your supervisor: Taiwanese banks (CTBC included)</w:t>
      </w:r>
      <w:r>
        <w:t xml:space="preserve"> </w:t>
      </w:r>
      <w:r>
        <w:rPr>
          <w:b/>
        </w:rPr>
        <w:t xml:space="preserve">largely sit out</w:t>
      </w:r>
      <w:r>
        <w:t xml:space="preserve"> </w:t>
      </w:r>
      <w:r>
        <w:t xml:space="preserve">the data-centre boom because of a Taiwan banking rule (Article 72-2), which is part of</w:t>
      </w:r>
      <w:r>
        <w:t xml:space="preserve"> </w:t>
      </w:r>
      <w:r>
        <w:rPr>
          <w:i/>
        </w:rPr>
        <w:t xml:space="preserve">why</w:t>
      </w:r>
      <w:r>
        <w:t xml:space="preserve"> </w:t>
      </w:r>
      <w:r>
        <w:t xml:space="preserve">the natural pool of lenders is so thin.</w:t>
      </w:r>
    </w:p>
    <w:p>
      <w:pPr>
        <w:pStyle w:val="FirstParagraph"/>
      </w:pPr>
      <w:r>
        <w:t xml:space="preserve">The rest of the document is a country-by-country roundup (Australia, China, Hong Kong/Gulf, India, Indonesia, Japan, Singapore, Taiwan, Vietnam) that gives you a read on what the</w:t>
      </w:r>
      <w:r>
        <w:t xml:space="preserve"> </w:t>
      </w:r>
      <w:r>
        <w:rPr>
          <w:i/>
        </w:rPr>
        <w:t xml:space="preserve">whole</w:t>
      </w:r>
      <w:r>
        <w:t xml:space="preserve"> </w:t>
      </w:r>
      <w:r>
        <w:t xml:space="preserve">regional market looks like right now.</w:t>
      </w:r>
    </w:p>
    <w:p>
      <w:r>
        <w:pict>
          <v:rect style="width:0;height:1.5pt" o:hralign="center" o:hrstd="t" o:hr="t"/>
        </w:pict>
      </w:r>
    </w:p>
    <w:p>
      <w:pPr>
        <w:pStyle w:val="Heading2"/>
      </w:pPr>
      <w:bookmarkStart w:id="22" w:name="X5b1ec47492c3d93c21d45f6d7130a27ef938e33"/>
      <w:r>
        <w:t xml:space="preserve">2. How to read a syndicated loan (plain-English primer)</w:t>
      </w:r>
      <w:bookmarkEnd w:id="22"/>
    </w:p>
    <w:p>
      <w:pPr>
        <w:pStyle w:val="FirstParagraph"/>
      </w:pPr>
      <w:r>
        <w:t xml:space="preserve">The tracker is dense with jargon. Once you can decode one deal entry, you can read them all. Keep this section handy during the discussion.</w:t>
      </w:r>
    </w:p>
    <w:p>
      <w:pPr>
        <w:pStyle w:val="BodyText"/>
      </w:pPr>
      <w:r>
        <w:rPr>
          <w:b/>
        </w:rPr>
        <w:t xml:space="preserve">Syndicated loan.</w:t>
      </w:r>
      <w:r>
        <w:t xml:space="preserve"> </w:t>
      </w:r>
      <w:r>
        <w:t xml:space="preserve">A single large loan provided by a</w:t>
      </w:r>
      <w:r>
        <w:t xml:space="preserve"> </w:t>
      </w:r>
      <w:r>
        <w:rPr>
          <w:i/>
        </w:rPr>
        <w:t xml:space="preserve">group</w:t>
      </w:r>
      <w:r>
        <w:t xml:space="preserve"> </w:t>
      </w:r>
      <w:r>
        <w:t xml:space="preserve">(syndicate) of banks rather than one lender — used when an amount is too big, or too risky, for one bank to hold alone. The borrower negotiates one set of terms; the banks split the exposure.</w:t>
      </w:r>
    </w:p>
    <w:p>
      <w:pPr>
        <w:pStyle w:val="BodyText"/>
      </w:pPr>
      <w:r>
        <w:rPr>
          <w:b/>
        </w:rPr>
        <w:t xml:space="preserve">The bank roles (the hierarchy).</w:t>
      </w:r>
    </w:p>
    <w:p>
      <w:pPr>
        <w:numPr>
          <w:ilvl w:val="0"/>
          <w:numId w:val="1002"/>
        </w:numPr>
        <w:pStyle w:val="Compact"/>
      </w:pPr>
      <w:r>
        <w:rPr>
          <w:b/>
        </w:rPr>
        <w:t xml:space="preserve">MLAB = Mandated Lead Arranger and Bookrunner.</w:t>
      </w:r>
      <w:r>
        <w:t xml:space="preserve"> </w:t>
      </w:r>
      <w:r>
        <w:t xml:space="preserve">The top role.</w:t>
      </w:r>
      <w:r>
        <w:t xml:space="preserve"> </w:t>
      </w:r>
      <w:r>
        <w:rPr>
          <w:i/>
        </w:rPr>
        <w:t xml:space="preserve">Mandated</w:t>
      </w:r>
      <w:r>
        <w:t xml:space="preserve"> </w:t>
      </w:r>
      <w:r>
        <w:t xml:space="preserve">by the borrower to structure the deal, set terms, and</w:t>
      </w:r>
      <w:r>
        <w:t xml:space="preserve"> </w:t>
      </w:r>
      <w:r>
        <w:t xml:space="preserve">“</w:t>
      </w:r>
      <w:r>
        <w:t xml:space="preserve">run the book</w:t>
      </w:r>
      <w:r>
        <w:t xml:space="preserve">”</w:t>
      </w:r>
      <w:r>
        <w:t xml:space="preserve"> </w:t>
      </w:r>
      <w:r>
        <w:t xml:space="preserve">(invite other banks and allocate who gets how much). The prestigious, fee-rich seat CTBC competes for. (When you see</w:t>
      </w:r>
      <w:r>
        <w:t xml:space="preserve"> </w:t>
      </w:r>
      <w:r>
        <w:rPr>
          <w:b/>
        </w:rPr>
        <w:t xml:space="preserve">“</w:t>
      </w:r>
      <w:r>
        <w:rPr>
          <w:b/>
        </w:rPr>
        <w:t xml:space="preserve">CBC Bank</w:t>
      </w:r>
      <w:r>
        <w:rPr>
          <w:b/>
        </w:rPr>
        <w:t xml:space="preserve">”</w:t>
      </w:r>
      <w:r>
        <w:rPr>
          <w:b/>
        </w:rPr>
        <w:t xml:space="preserve"> </w:t>
      </w:r>
      <w:r>
        <w:rPr>
          <w:b/>
        </w:rPr>
        <w:t xml:space="preserve">as MLAB</w:t>
      </w:r>
      <w:r>
        <w:t xml:space="preserve">, that’s CTBC.)</w:t>
      </w:r>
    </w:p>
    <w:p>
      <w:pPr>
        <w:numPr>
          <w:ilvl w:val="0"/>
          <w:numId w:val="1002"/>
        </w:numPr>
        <w:pStyle w:val="Compact"/>
      </w:pPr>
      <w:r>
        <w:rPr>
          <w:b/>
        </w:rPr>
        <w:t xml:space="preserve">MLA / Lead Arranger / Arranger.</w:t>
      </w:r>
      <w:r>
        <w:t xml:space="preserve"> </w:t>
      </w:r>
      <w:r>
        <w:t xml:space="preserve">Lower participation tiers. They commit money and earn fees but didn’t structure the deal; your title and fee scale with how much you commit.</w:t>
      </w:r>
    </w:p>
    <w:p>
      <w:pPr>
        <w:numPr>
          <w:ilvl w:val="0"/>
          <w:numId w:val="1002"/>
        </w:numPr>
        <w:pStyle w:val="Compact"/>
      </w:pPr>
      <w:r>
        <w:rPr>
          <w:b/>
        </w:rPr>
        <w:t xml:space="preserve">Coordinator / Agent.</w:t>
      </w:r>
      <w:r>
        <w:t xml:space="preserve"> </w:t>
      </w:r>
      <w:r>
        <w:t xml:space="preserve">The coordinator marshals the syndication; the (facility) agent administers the loan after signing — collecting and passing on payments.</w:t>
      </w:r>
    </w:p>
    <w:p>
      <w:pPr>
        <w:numPr>
          <w:ilvl w:val="0"/>
          <w:numId w:val="1002"/>
        </w:numPr>
        <w:pStyle w:val="Compact"/>
      </w:pPr>
      <w:r>
        <w:rPr>
          <w:b/>
        </w:rPr>
        <w:t xml:space="preserve">Underwriter.</w:t>
      </w:r>
      <w:r>
        <w:t xml:space="preserve"> </w:t>
      </w:r>
      <w:r>
        <w:t xml:space="preserve">Guarantees the borrower a set amount even if other banks don’t show up — more risk, more fee.</w:t>
      </w:r>
    </w:p>
    <w:p>
      <w:pPr>
        <w:pStyle w:val="FirstParagraph"/>
      </w:pPr>
      <w:r>
        <w:rPr>
          <w:b/>
        </w:rPr>
        <w:t xml:space="preserve">General syndication.</w:t>
      </w:r>
      <w:r>
        <w:t xml:space="preserve"> </w:t>
      </w:r>
      <w:r>
        <w:t xml:space="preserve">The phase where lead banks invite the broader market to join.</w:t>
      </w:r>
      <w:r>
        <w:t xml:space="preserve"> </w:t>
      </w:r>
      <w:r>
        <w:t xml:space="preserve">“</w:t>
      </w:r>
      <w:r>
        <w:t xml:space="preserve">A dozen lenders joined</w:t>
      </w:r>
      <w:r>
        <w:t xml:space="preserve">”</w:t>
      </w:r>
      <w:r>
        <w:t xml:space="preserve"> </w:t>
      </w:r>
      <w:r>
        <w:t xml:space="preserve">= healthy demand.</w:t>
      </w:r>
    </w:p>
    <w:p>
      <w:pPr>
        <w:pStyle w:val="BodyText"/>
      </w:pPr>
      <w:r>
        <w:rPr>
          <w:b/>
        </w:rPr>
        <w:t xml:space="preserve">Loan structure.</w:t>
      </w:r>
    </w:p>
    <w:p>
      <w:pPr>
        <w:numPr>
          <w:ilvl w:val="0"/>
          <w:numId w:val="1003"/>
        </w:numPr>
        <w:pStyle w:val="Compact"/>
      </w:pPr>
      <w:r>
        <w:rPr>
          <w:b/>
        </w:rPr>
        <w:t xml:space="preserve">Tranche</w:t>
      </w:r>
      <w:r>
        <w:t xml:space="preserve"> </w:t>
      </w:r>
      <w:r>
        <w:t xml:space="preserve">— a slice of a loan with its own terms/tenor/currency. (Endeavour Energy this week has</w:t>
      </w:r>
      <w:r>
        <w:t xml:space="preserve"> </w:t>
      </w:r>
      <w:r>
        <w:rPr>
          <w:i/>
        </w:rPr>
        <w:t xml:space="preserve">five</w:t>
      </w:r>
      <w:r>
        <w:t xml:space="preserve"> </w:t>
      </w:r>
      <w:r>
        <w:t xml:space="preserve">tranches in one facility.)</w:t>
      </w:r>
    </w:p>
    <w:p>
      <w:pPr>
        <w:numPr>
          <w:ilvl w:val="0"/>
          <w:numId w:val="1003"/>
        </w:numPr>
        <w:pStyle w:val="Compact"/>
      </w:pPr>
      <w:r>
        <w:rPr>
          <w:b/>
        </w:rPr>
        <w:t xml:space="preserve">Term loan vs RCF (revolver)</w:t>
      </w:r>
      <w:r>
        <w:t xml:space="preserve"> </w:t>
      </w:r>
      <w:r>
        <w:t xml:space="preserve">— a term loan is borrowed once and repaid on schedule; a revolver can be drawn, repaid and redrawn, like a corporate credit card.</w:t>
      </w:r>
    </w:p>
    <w:p>
      <w:pPr>
        <w:numPr>
          <w:ilvl w:val="0"/>
          <w:numId w:val="1003"/>
        </w:numPr>
        <w:pStyle w:val="Compact"/>
      </w:pPr>
      <w:r>
        <w:rPr>
          <w:b/>
        </w:rPr>
        <w:t xml:space="preserve">Bullet vs amortising</w:t>
      </w:r>
      <w:r>
        <w:t xml:space="preserve"> </w:t>
      </w:r>
      <w:r>
        <w:t xml:space="preserve">— repaid all at the end vs paid down over the life.</w:t>
      </w:r>
    </w:p>
    <w:p>
      <w:pPr>
        <w:numPr>
          <w:ilvl w:val="0"/>
          <w:numId w:val="1003"/>
        </w:numPr>
        <w:pStyle w:val="Compact"/>
      </w:pPr>
      <w:r>
        <w:rPr>
          <w:b/>
        </w:rPr>
        <w:t xml:space="preserve">Tenor / average life</w:t>
      </w:r>
      <w:r>
        <w:t xml:space="preserve"> </w:t>
      </w:r>
      <w:r>
        <w:t xml:space="preserve">— the loan’s length / the average time the money is actually outstanding.</w:t>
      </w:r>
    </w:p>
    <w:p>
      <w:pPr>
        <w:numPr>
          <w:ilvl w:val="0"/>
          <w:numId w:val="1003"/>
        </w:numPr>
        <w:pStyle w:val="Compact"/>
      </w:pPr>
      <w:r>
        <w:rPr>
          <w:b/>
        </w:rPr>
        <w:t xml:space="preserve">Greenshoe / accordion</w:t>
      </w:r>
      <w:r>
        <w:t xml:space="preserve"> </w:t>
      </w:r>
      <w:r>
        <w:t xml:space="preserve">— options to</w:t>
      </w:r>
      <w:r>
        <w:t xml:space="preserve"> </w:t>
      </w:r>
      <w:r>
        <w:rPr>
          <w:i/>
        </w:rPr>
        <w:t xml:space="preserve">upsize</w:t>
      </w:r>
      <w:r>
        <w:t xml:space="preserve"> </w:t>
      </w:r>
      <w:r>
        <w:t xml:space="preserve">the loan if demand is strong (Princeton Digital has a US$400m accordion).</w:t>
      </w:r>
    </w:p>
    <w:p>
      <w:pPr>
        <w:numPr>
          <w:ilvl w:val="0"/>
          <w:numId w:val="1003"/>
        </w:numPr>
        <w:pStyle w:val="Compact"/>
      </w:pPr>
      <w:r>
        <w:rPr>
          <w:b/>
        </w:rPr>
        <w:t xml:space="preserve">A&amp;E (Amend &amp; Extend)</w:t>
      </w:r>
      <w:r>
        <w:t xml:space="preserve"> </w:t>
      </w:r>
      <w:r>
        <w:t xml:space="preserve">— push out the maturities on an</w:t>
      </w:r>
      <w:r>
        <w:t xml:space="preserve"> </w:t>
      </w:r>
      <w:r>
        <w:rPr>
          <w:i/>
        </w:rPr>
        <w:t xml:space="preserve">existing</w:t>
      </w:r>
      <w:r>
        <w:t xml:space="preserve"> </w:t>
      </w:r>
      <w:r>
        <w:t xml:space="preserve">facility instead of raising a brand-new one (Endeavour, Tabcorp and Transurban all do versions of this).</w:t>
      </w:r>
    </w:p>
    <w:p>
      <w:pPr>
        <w:pStyle w:val="FirstParagraph"/>
      </w:pPr>
      <w:r>
        <w:rPr>
          <w:b/>
        </w:rPr>
        <w:t xml:space="preserve">Pricing.</w:t>
      </w:r>
    </w:p>
    <w:p>
      <w:pPr>
        <w:numPr>
          <w:ilvl w:val="0"/>
          <w:numId w:val="1004"/>
        </w:numPr>
        <w:pStyle w:val="Compact"/>
      </w:pPr>
      <w:r>
        <w:rPr>
          <w:b/>
        </w:rPr>
        <w:t xml:space="preserve">Margin / spread</w:t>
      </w:r>
      <w:r>
        <w:t xml:space="preserve"> </w:t>
      </w:r>
      <w:r>
        <w:t xml:space="preserve">— interest</w:t>
      </w:r>
      <w:r>
        <w:t xml:space="preserve"> </w:t>
      </w:r>
      <w:r>
        <w:rPr>
          <w:i/>
        </w:rPr>
        <w:t xml:space="preserve">above</w:t>
      </w:r>
      <w:r>
        <w:t xml:space="preserve"> </w:t>
      </w:r>
      <w:r>
        <w:t xml:space="preserve">a benchmark, in basis points (100bp = 1.00%).</w:t>
      </w:r>
      <w:r>
        <w:t xml:space="preserve"> </w:t>
      </w:r>
      <w:r>
        <w:t xml:space="preserve">“</w:t>
      </w:r>
      <w:r>
        <w:t xml:space="preserve">225bp over SOFR</w:t>
      </w:r>
      <w:r>
        <w:t xml:space="preserve">”</w:t>
      </w:r>
      <w:r>
        <w:t xml:space="preserve"> </w:t>
      </w:r>
      <w:r>
        <w:t xml:space="preserve">= SOFR + 2.25%.</w:t>
      </w:r>
    </w:p>
    <w:p>
      <w:pPr>
        <w:numPr>
          <w:ilvl w:val="0"/>
          <w:numId w:val="1004"/>
        </w:numPr>
        <w:pStyle w:val="Compact"/>
      </w:pPr>
      <w:r>
        <w:rPr>
          <w:b/>
        </w:rPr>
        <w:t xml:space="preserve">All-in pricing</w:t>
      </w:r>
      <w:r>
        <w:t xml:space="preserve"> </w:t>
      </w:r>
      <w:r>
        <w:t xml:space="preserve">— margin</w:t>
      </w:r>
      <w:r>
        <w:t xml:space="preserve"> </w:t>
      </w:r>
      <w:r>
        <w:rPr>
          <w:b/>
        </w:rPr>
        <w:t xml:space="preserve">plus</w:t>
      </w:r>
      <w:r>
        <w:t xml:space="preserve"> </w:t>
      </w:r>
      <w:r>
        <w:t xml:space="preserve">annualised fees = a lender’s total yield (Gunvor’s</w:t>
      </w:r>
      <w:r>
        <w:t xml:space="preserve"> </w:t>
      </w:r>
      <w:r>
        <w:t xml:space="preserve">“</w:t>
      </w:r>
      <w:r>
        <w:t xml:space="preserve">140bp all-in</w:t>
      </w:r>
      <w:r>
        <w:t xml:space="preserve">”</w:t>
      </w:r>
      <w:r>
        <w:t xml:space="preserve"> </w:t>
      </w:r>
      <w:r>
        <w:t xml:space="preserve">vs its 70bp margin shows how much fees add).</w:t>
      </w:r>
    </w:p>
    <w:p>
      <w:pPr>
        <w:numPr>
          <w:ilvl w:val="0"/>
          <w:numId w:val="1004"/>
        </w:numPr>
        <w:pStyle w:val="Compact"/>
      </w:pPr>
      <w:r>
        <w:rPr>
          <w:b/>
        </w:rPr>
        <w:t xml:space="preserve">Upfront / participation fee</w:t>
      </w:r>
      <w:r>
        <w:t xml:space="preserve"> </w:t>
      </w:r>
      <w:r>
        <w:t xml:space="preserve">— a one-time fee for joining, scaled by ticket size (you’ll see fee</w:t>
      </w:r>
      <w:r>
        <w:t xml:space="preserve"> </w:t>
      </w:r>
      <w:r>
        <w:t xml:space="preserve">“</w:t>
      </w:r>
      <w:r>
        <w:t xml:space="preserve">tiers</w:t>
      </w:r>
      <w:r>
        <w:t xml:space="preserve">”</w:t>
      </w:r>
      <w:r>
        <w:t xml:space="preserve"> </w:t>
      </w:r>
      <w:r>
        <w:t xml:space="preserve">— e.g. commit A$75m+ and earn 10bp).</w:t>
      </w:r>
    </w:p>
    <w:p>
      <w:pPr>
        <w:numPr>
          <w:ilvl w:val="0"/>
          <w:numId w:val="1004"/>
        </w:numPr>
        <w:pStyle w:val="Compact"/>
      </w:pPr>
      <w:r>
        <w:rPr>
          <w:b/>
        </w:rPr>
        <w:t xml:space="preserve">Interest-rate floor</w:t>
      </w:r>
      <w:r>
        <w:t xml:space="preserve"> </w:t>
      </w:r>
      <w:r>
        <w:t xml:space="preserve">— a minimum rate even if the benchmark falls (ASE’s deal has a 1.7% floor).</w:t>
      </w:r>
    </w:p>
    <w:p>
      <w:pPr>
        <w:numPr>
          <w:ilvl w:val="0"/>
          <w:numId w:val="1004"/>
        </w:numPr>
        <w:pStyle w:val="Compact"/>
      </w:pPr>
      <w:r>
        <w:rPr>
          <w:b/>
        </w:rPr>
        <w:t xml:space="preserve">Benchmarks by currency</w:t>
      </w:r>
      <w:r>
        <w:t xml:space="preserve"> </w:t>
      </w:r>
      <w:r>
        <w:t xml:space="preserve">—</w:t>
      </w:r>
      <w:r>
        <w:t xml:space="preserve"> </w:t>
      </w:r>
      <w:r>
        <w:rPr>
          <w:b/>
        </w:rPr>
        <w:t xml:space="preserve">SOFR</w:t>
      </w:r>
      <w:r>
        <w:t xml:space="preserve"> </w:t>
      </w:r>
      <w:r>
        <w:t xml:space="preserve">(USD),</w:t>
      </w:r>
      <w:r>
        <w:t xml:space="preserve"> </w:t>
      </w:r>
      <w:r>
        <w:rPr>
          <w:b/>
        </w:rPr>
        <w:t xml:space="preserve">Taibor</w:t>
      </w:r>
      <w:r>
        <w:t xml:space="preserve"> </w:t>
      </w:r>
      <w:r>
        <w:t xml:space="preserve">(TWD),</w:t>
      </w:r>
      <w:r>
        <w:t xml:space="preserve"> </w:t>
      </w:r>
      <w:r>
        <w:rPr>
          <w:b/>
        </w:rPr>
        <w:t xml:space="preserve">Hibor</w:t>
      </w:r>
      <w:r>
        <w:t xml:space="preserve"> </w:t>
      </w:r>
      <w:r>
        <w:t xml:space="preserve">(HKD),</w:t>
      </w:r>
      <w:r>
        <w:t xml:space="preserve"> </w:t>
      </w:r>
      <w:r>
        <w:rPr>
          <w:b/>
        </w:rPr>
        <w:t xml:space="preserve">BBSY</w:t>
      </w:r>
      <w:r>
        <w:t xml:space="preserve"> </w:t>
      </w:r>
      <w:r>
        <w:t xml:space="preserve">(AUD),</w:t>
      </w:r>
      <w:r>
        <w:t xml:space="preserve"> </w:t>
      </w:r>
      <w:r>
        <w:rPr>
          <w:b/>
        </w:rPr>
        <w:t xml:space="preserve">Tonar</w:t>
      </w:r>
      <w:r>
        <w:t xml:space="preserve"> </w:t>
      </w:r>
      <w:r>
        <w:t xml:space="preserve">(JPY),</w:t>
      </w:r>
      <w:r>
        <w:t xml:space="preserve"> </w:t>
      </w:r>
      <w:r>
        <w:rPr>
          <w:b/>
        </w:rPr>
        <w:t xml:space="preserve">LPR</w:t>
      </w:r>
      <w:r>
        <w:t xml:space="preserve"> </w:t>
      </w:r>
      <w:r>
        <w:t xml:space="preserve">(China onshore),</w:t>
      </w:r>
      <w:r>
        <w:t xml:space="preserve"> </w:t>
      </w:r>
      <w:r>
        <w:rPr>
          <w:b/>
        </w:rPr>
        <w:t xml:space="preserve">Klibor</w:t>
      </w:r>
      <w:r>
        <w:t xml:space="preserve"> </w:t>
      </w:r>
      <w:r>
        <w:t xml:space="preserve">(Malaysia).</w:t>
      </w:r>
    </w:p>
    <w:p>
      <w:pPr>
        <w:pStyle w:val="FirstParagraph"/>
      </w:pPr>
      <w:r>
        <w:rPr>
          <w:b/>
        </w:rPr>
        <w:t xml:space="preserve">Terms that matter for this week’s data-centre theme.</w:t>
      </w:r>
    </w:p>
    <w:p>
      <w:pPr>
        <w:numPr>
          <w:ilvl w:val="0"/>
          <w:numId w:val="1005"/>
        </w:numPr>
        <w:pStyle w:val="Compact"/>
      </w:pPr>
      <w:r>
        <w:rPr>
          <w:b/>
        </w:rPr>
        <w:t xml:space="preserve">Project finance (PF)</w:t>
      </w:r>
      <w:r>
        <w:t xml:space="preserve"> </w:t>
      </w:r>
      <w:r>
        <w:t xml:space="preserve">— lending against a</w:t>
      </w:r>
      <w:r>
        <w:t xml:space="preserve"> </w:t>
      </w:r>
      <w:r>
        <w:rPr>
          <w:i/>
        </w:rPr>
        <w:t xml:space="preserve">specific asset’s</w:t>
      </w:r>
      <w:r>
        <w:t xml:space="preserve"> </w:t>
      </w:r>
      <w:r>
        <w:t xml:space="preserve">cash flows (here, a data-centre campus), not the whole company. Repayment depends on the project performing.</w:t>
      </w:r>
    </w:p>
    <w:p>
      <w:pPr>
        <w:numPr>
          <w:ilvl w:val="0"/>
          <w:numId w:val="1005"/>
        </w:numPr>
        <w:pStyle w:val="Compact"/>
      </w:pPr>
      <w:r>
        <w:rPr>
          <w:b/>
        </w:rPr>
        <w:t xml:space="preserve">Hyperscaler</w:t>
      </w:r>
      <w:r>
        <w:t xml:space="preserve"> </w:t>
      </w:r>
      <w:r>
        <w:t xml:space="preserve">— the giant cloud/AI companies that rent data-centre capacity (Amazon, Microsoft, Google, Oracle, Meta, plus ByteDance and a few Asian names). In a data-centre loan they are the</w:t>
      </w:r>
      <w:r>
        <w:t xml:space="preserve"> </w:t>
      </w:r>
      <w:r>
        <w:rPr>
          <w:b/>
        </w:rPr>
        <w:t xml:space="preserve">offtaker</w:t>
      </w:r>
      <w:r>
        <w:t xml:space="preserve">.</w:t>
      </w:r>
    </w:p>
    <w:p>
      <w:pPr>
        <w:numPr>
          <w:ilvl w:val="0"/>
          <w:numId w:val="1005"/>
        </w:numPr>
        <w:pStyle w:val="Compact"/>
      </w:pPr>
      <w:r>
        <w:rPr>
          <w:b/>
        </w:rPr>
        <w:t xml:space="preserve">Offtaker / offtake agreement</w:t>
      </w:r>
      <w:r>
        <w:t xml:space="preserve"> </w:t>
      </w:r>
      <w:r>
        <w:t xml:space="preserve">— the customer who contracts to</w:t>
      </w:r>
      <w:r>
        <w:t xml:space="preserve"> </w:t>
      </w:r>
      <w:r>
        <w:rPr>
          <w:i/>
        </w:rPr>
        <w:t xml:space="preserve">take</w:t>
      </w:r>
      <w:r>
        <w:t xml:space="preserve"> </w:t>
      </w:r>
      <w:r>
        <w:t xml:space="preserve">the capacity (the lease) — the source of the project’s revenue. A</w:t>
      </w:r>
      <w:r>
        <w:t xml:space="preserve"> </w:t>
      </w:r>
      <w:r>
        <w:t xml:space="preserve">“</w:t>
      </w:r>
      <w:r>
        <w:t xml:space="preserve">7+5+5</w:t>
      </w:r>
      <w:r>
        <w:t xml:space="preserve">”</w:t>
      </w:r>
      <w:r>
        <w:t xml:space="preserve"> </w:t>
      </w:r>
      <w:r>
        <w:t xml:space="preserve">offtake = a 7-year lease with two 5-year renewal</w:t>
      </w:r>
      <w:r>
        <w:t xml:space="preserve"> </w:t>
      </w:r>
      <w:r>
        <w:rPr>
          <w:i/>
        </w:rPr>
        <w:t xml:space="preserve">options</w:t>
      </w:r>
      <w:r>
        <w:t xml:space="preserve">.</w:t>
      </w:r>
    </w:p>
    <w:p>
      <w:pPr>
        <w:numPr>
          <w:ilvl w:val="0"/>
          <w:numId w:val="1005"/>
        </w:numPr>
        <w:pStyle w:val="Compact"/>
      </w:pPr>
      <w:r>
        <w:rPr>
          <w:b/>
        </w:rPr>
        <w:t xml:space="preserve">Loan-to-cost (LTC)</w:t>
      </w:r>
      <w:r>
        <w:t xml:space="preserve"> </w:t>
      </w:r>
      <w:r>
        <w:t xml:space="preserve">— debt as a % of the project’s total build cost. The higher it is, the</w:t>
      </w:r>
      <w:r>
        <w:t xml:space="preserve"> </w:t>
      </w:r>
      <w:r>
        <w:rPr>
          <w:b/>
        </w:rPr>
        <w:t xml:space="preserve">thinner the equity cushion</w:t>
      </w:r>
      <w:r>
        <w:t xml:space="preserve"> </w:t>
      </w:r>
      <w:r>
        <w:t xml:space="preserve">beneath the lenders.</w:t>
      </w:r>
      <w:r>
        <w:t xml:space="preserve"> </w:t>
      </w:r>
      <w:r>
        <w:t xml:space="preserve">“</w:t>
      </w:r>
      <w:r>
        <w:t xml:space="preserve">&gt;90% LTC</w:t>
      </w:r>
      <w:r>
        <w:t xml:space="preserve">”</w:t>
      </w:r>
      <w:r>
        <w:t xml:space="preserve"> </w:t>
      </w:r>
      <w:r>
        <w:t xml:space="preserve">is aggressive.</w:t>
      </w:r>
    </w:p>
    <w:p>
      <w:pPr>
        <w:numPr>
          <w:ilvl w:val="0"/>
          <w:numId w:val="1005"/>
        </w:numPr>
        <w:pStyle w:val="Compact"/>
      </w:pPr>
      <w:r>
        <w:rPr>
          <w:b/>
        </w:rPr>
        <w:t xml:space="preserve">Covenant-lite (</w:t>
      </w:r>
      <w:r>
        <w:rPr>
          <w:b/>
        </w:rPr>
        <w:t xml:space="preserve">“</w:t>
      </w:r>
      <w:r>
        <w:rPr>
          <w:b/>
        </w:rPr>
        <w:t xml:space="preserve">cov-lite</w:t>
      </w:r>
      <w:r>
        <w:rPr>
          <w:b/>
        </w:rPr>
        <w:t xml:space="preserve">”</w:t>
      </w:r>
      <w:r>
        <w:rPr>
          <w:b/>
        </w:rPr>
        <w:t xml:space="preserve">)</w:t>
      </w:r>
      <w:r>
        <w:t xml:space="preserve"> </w:t>
      </w:r>
      <w:r>
        <w:t xml:space="preserve">— a loan with few maintenance covenants (promises the borrower must keep). Common in red-hot sectors and LBOs; more risk for lenders.</w:t>
      </w:r>
    </w:p>
    <w:p>
      <w:pPr>
        <w:numPr>
          <w:ilvl w:val="0"/>
          <w:numId w:val="1005"/>
        </w:numPr>
        <w:pStyle w:val="Compact"/>
      </w:pPr>
      <w:r>
        <w:rPr>
          <w:b/>
        </w:rPr>
        <w:t xml:space="preserve">Change-of-control / parent guarantee</w:t>
      </w:r>
      <w:r>
        <w:t xml:space="preserve"> </w:t>
      </w:r>
      <w:r>
        <w:t xml:space="preserve">— protections lenders normally want (the right to be repaid if ownership changes; a promise from the parent company to stand behind the debt). The report notes these are being</w:t>
      </w:r>
      <w:r>
        <w:t xml:space="preserve"> </w:t>
      </w:r>
      <w:r>
        <w:rPr>
          <w:i/>
        </w:rPr>
        <w:t xml:space="preserve">removed</w:t>
      </w:r>
      <w:r>
        <w:t xml:space="preserve"> </w:t>
      </w:r>
      <w:r>
        <w:t xml:space="preserve">on some data-centre deals.</w:t>
      </w:r>
    </w:p>
    <w:p>
      <w:pPr>
        <w:numPr>
          <w:ilvl w:val="0"/>
          <w:numId w:val="1005"/>
        </w:numPr>
        <w:pStyle w:val="Compact"/>
      </w:pPr>
      <w:r>
        <w:rPr>
          <w:b/>
        </w:rPr>
        <w:t xml:space="preserve">Capital recycling / securitisation</w:t>
      </w:r>
      <w:r>
        <w:t xml:space="preserve"> </w:t>
      </w:r>
      <w:r>
        <w:t xml:space="preserve">— selling or bundling completed assets to free up balance-sheet room so you can build the next one. The report flags that this has</w:t>
      </w:r>
      <w:r>
        <w:t xml:space="preserve"> </w:t>
      </w:r>
      <w:r>
        <w:rPr>
          <w:b/>
        </w:rPr>
        <w:t xml:space="preserve">not yet</w:t>
      </w:r>
      <w:r>
        <w:t xml:space="preserve"> </w:t>
      </w:r>
      <w:r>
        <w:t xml:space="preserve">started for Asian data centres — which is</w:t>
      </w:r>
      <w:r>
        <w:t xml:space="preserve"> </w:t>
      </w:r>
      <w:r>
        <w:rPr>
          <w:i/>
        </w:rPr>
        <w:t xml:space="preserve">why</w:t>
      </w:r>
      <w:r>
        <w:t xml:space="preserve"> </w:t>
      </w:r>
      <w:r>
        <w:t xml:space="preserve">the pressure falls on bank loans.</w:t>
      </w:r>
    </w:p>
    <w:p>
      <w:pPr>
        <w:numPr>
          <w:ilvl w:val="0"/>
          <w:numId w:val="1005"/>
        </w:numPr>
        <w:pStyle w:val="Compact"/>
      </w:pPr>
      <w:r>
        <w:rPr>
          <w:b/>
        </w:rPr>
        <w:t xml:space="preserve">Islamic financing / murabaha</w:t>
      </w:r>
      <w:r>
        <w:t xml:space="preserve"> </w:t>
      </w:r>
      <w:r>
        <w:t xml:space="preserve">— Shariah-compliant funding that earns a profit margin instead of</w:t>
      </w:r>
      <w:r>
        <w:t xml:space="preserve"> </w:t>
      </w:r>
      <w:r>
        <w:t xml:space="preserve">“</w:t>
      </w:r>
      <w:r>
        <w:t xml:space="preserve">interest.</w:t>
      </w:r>
      <w:r>
        <w:t xml:space="preserve">”</w:t>
      </w:r>
      <w:r>
        <w:t xml:space="preserve"> </w:t>
      </w:r>
      <w:r>
        <w:t xml:space="preserve">DayOne’s Malaysian package includes a murabaha tranche; Dubai Islamic Bank’s whole deal is Islamic.</w:t>
      </w:r>
    </w:p>
    <w:p>
      <w:r>
        <w:pict>
          <v:rect style="width:0;height:1.5pt" o:hralign="center" o:hrstd="t" o:hr="t"/>
        </w:pict>
      </w:r>
    </w:p>
    <w:p>
      <w:pPr>
        <w:pStyle w:val="Heading2"/>
      </w:pPr>
      <w:bookmarkStart w:id="23" w:name="Xd8d64b4f7a5790a4e48e3482704c735fd6a8f4e"/>
      <w:r>
        <w:t xml:space="preserve">3. Theme deep dive — Malaysia’s data-centre boom and the limits of bank capacity</w:t>
      </w:r>
      <w:bookmarkEnd w:id="23"/>
    </w:p>
    <w:p>
      <w:pPr>
        <w:pStyle w:val="Heading3"/>
      </w:pPr>
      <w:bookmarkStart w:id="24" w:name="why-johor-malaysia-is-the-epicentre"/>
      <w:r>
        <w:t xml:space="preserve">3.1 Why Johor, Malaysia is the epicentre</w:t>
      </w:r>
      <w:bookmarkEnd w:id="24"/>
    </w:p>
    <w:p>
      <w:pPr>
        <w:pStyle w:val="FirstParagraph"/>
      </w:pPr>
      <w:r>
        <w:t xml:space="preserve">Demand for data centres is rising across Asia, but</w:t>
      </w:r>
      <w:r>
        <w:t xml:space="preserve"> </w:t>
      </w:r>
      <w:r>
        <w:rPr>
          <w:b/>
        </w:rPr>
        <w:t xml:space="preserve">Malaysia stands out for the sheer scale</w:t>
      </w:r>
      <w:r>
        <w:t xml:space="preserve"> </w:t>
      </w:r>
      <w:r>
        <w:t xml:space="preserve">of its projects and the debt behind them. At the end of 2025,</w:t>
      </w:r>
      <w:r>
        <w:t xml:space="preserve"> </w:t>
      </w:r>
      <w:r>
        <w:rPr>
          <w:b/>
        </w:rPr>
        <w:t xml:space="preserve">over 2GW</w:t>
      </w:r>
      <w:r>
        <w:t xml:space="preserve"> </w:t>
      </w:r>
      <w:r>
        <w:t xml:space="preserve">of capacity was planned in the</w:t>
      </w:r>
      <w:r>
        <w:t xml:space="preserve"> </w:t>
      </w:r>
      <w:r>
        <w:rPr>
          <w:b/>
        </w:rPr>
        <w:t xml:space="preserve">Johor</w:t>
      </w:r>
      <w:r>
        <w:t xml:space="preserve"> </w:t>
      </w:r>
      <w:r>
        <w:t xml:space="preserve">region — the largest pipeline in Asia-Pacific (Cushman &amp; Wakefield). Johor sits directly across the strait from Singapore, which ran low on power and land for data centres, so the demand spilled over the border to where land, power and water are cheaper.</w:t>
      </w:r>
    </w:p>
    <w:p>
      <w:pPr>
        <w:pStyle w:val="BodyText"/>
      </w:pPr>
      <w:r>
        <w:t xml:space="preserve">Zoom out and South-East Asia held the</w:t>
      </w:r>
      <w:r>
        <w:t xml:space="preserve"> </w:t>
      </w:r>
      <w:r>
        <w:rPr>
          <w:b/>
        </w:rPr>
        <w:t xml:space="preserve">largest share of under-construction capacity in APAC at end-2025 — 1,123MW, or 31% of the regional total.</w:t>
      </w:r>
      <w:r>
        <w:t xml:space="preserve"> </w:t>
      </w:r>
      <w:r>
        <w:t xml:space="preserve">Malaysia led with</w:t>
      </w:r>
      <w:r>
        <w:t xml:space="preserve"> </w:t>
      </w:r>
      <w:r>
        <w:rPr>
          <w:b/>
        </w:rPr>
        <w:t xml:space="preserve">483MW</w:t>
      </w:r>
      <w:r>
        <w:t xml:space="preserve"> </w:t>
      </w:r>
      <w:r>
        <w:t xml:space="preserve">under construction, ahead of</w:t>
      </w:r>
      <w:r>
        <w:t xml:space="preserve"> </w:t>
      </w:r>
      <w:r>
        <w:rPr>
          <w:b/>
        </w:rPr>
        <w:t xml:space="preserve">Thailand (347MW)</w:t>
      </w:r>
      <w:r>
        <w:t xml:space="preserve"> </w:t>
      </w:r>
      <w:r>
        <w:t xml:space="preserve">and</w:t>
      </w:r>
      <w:r>
        <w:t xml:space="preserve"> </w:t>
      </w:r>
      <w:r>
        <w:rPr>
          <w:b/>
        </w:rPr>
        <w:t xml:space="preserve">Indonesia (236MW)</w:t>
      </w:r>
      <w:r>
        <w:t xml:space="preserve">. (These three bars are the second chart on the dashboard’s Weekly view.)</w:t>
      </w:r>
    </w:p>
    <w:p>
      <w:pPr>
        <w:pStyle w:val="Heading3"/>
      </w:pPr>
      <w:bookmarkStart w:id="25" w:name="the-deals-driving-it"/>
      <w:r>
        <w:t xml:space="preserve">3.2 The deals driving it</w:t>
      </w:r>
      <w:bookmarkEnd w:id="25"/>
    </w:p>
    <w:p>
      <w:pPr>
        <w:numPr>
          <w:ilvl w:val="0"/>
          <w:numId w:val="1006"/>
        </w:numPr>
        <w:pStyle w:val="Compact"/>
      </w:pPr>
      <w:r>
        <w:rPr>
          <w:b/>
        </w:rPr>
        <w:t xml:space="preserve">DayOne Data Centres — ~US$3.7bn (Malaysia).</w:t>
      </w:r>
      <w:r>
        <w:t xml:space="preserve"> </w:t>
      </w:r>
      <w:r>
        <w:t xml:space="preserve">Less than a year after closing</w:t>
      </w:r>
      <w:r>
        <w:t xml:space="preserve"> </w:t>
      </w:r>
      <w:r>
        <w:rPr>
          <w:b/>
        </w:rPr>
        <w:t xml:space="preserve">Asia’s largest widely-syndicated data-centre loan</w:t>
      </w:r>
      <w:r>
        <w:t xml:space="preserve"> </w:t>
      </w:r>
      <w:r>
        <w:t xml:space="preserve">(~US$3.46bn-equivalent in June 2025 — structured as a</w:t>
      </w:r>
      <w:r>
        <w:t xml:space="preserve"> </w:t>
      </w:r>
      <w:r>
        <w:rPr>
          <w:b/>
        </w:rPr>
        <w:t xml:space="preserve">RM7.5bn Islamic tranche + a US$1.7bn offshore term loan</w:t>
      </w:r>
      <w:r>
        <w:t xml:space="preserve">, ~US$3.5bn all-in), DayOne is</w:t>
      </w:r>
      <w:r>
        <w:t xml:space="preserve"> </w:t>
      </w:r>
      <w:r>
        <w:rPr>
          <w:b/>
        </w:rPr>
        <w:t xml:space="preserve">doubling down</w:t>
      </w:r>
      <w:r>
        <w:t xml:space="preserve"> </w:t>
      </w:r>
      <w:r>
        <w:t xml:space="preserve">with an even bigger borrowing to expand its</w:t>
      </w:r>
      <w:r>
        <w:t xml:space="preserve"> </w:t>
      </w:r>
      <w:r>
        <w:rPr>
          <w:b/>
        </w:rPr>
        <w:t xml:space="preserve">478MW-plus Nusajaya Tech Park and Kempas Tech Park</w:t>
      </w:r>
      <w:r>
        <w:t xml:space="preserve"> </w:t>
      </w:r>
      <w:r>
        <w:t xml:space="preserve">campuses in Johor. This is the single biggest draw in the market.</w:t>
      </w:r>
    </w:p>
    <w:p>
      <w:pPr>
        <w:numPr>
          <w:ilvl w:val="0"/>
          <w:numId w:val="1006"/>
        </w:numPr>
        <w:pStyle w:val="Compact"/>
      </w:pPr>
      <w:r>
        <w:rPr>
          <w:b/>
        </w:rPr>
        <w:t xml:space="preserve">AirTrunk (JHB2) — US$2.325bn (Malaysia).</w:t>
      </w:r>
      <w:r>
        <w:t xml:space="preserve"> </w:t>
      </w:r>
      <w:r>
        <w:t xml:space="preserve">A project financing for</w:t>
      </w:r>
      <w:r>
        <w:t xml:space="preserve"> </w:t>
      </w:r>
      <w:r>
        <w:rPr>
          <w:b/>
        </w:rPr>
        <w:t xml:space="preserve">198MW</w:t>
      </w:r>
      <w:r>
        <w:t xml:space="preserve"> </w:t>
      </w:r>
      <w:r>
        <w:t xml:space="preserve">of its JHB2 campus. Reporting around the deal puts pricing at roughly</w:t>
      </w:r>
      <w:r>
        <w:t xml:space="preserve"> </w:t>
      </w:r>
      <w:r>
        <w:rPr>
          <w:b/>
        </w:rPr>
        <w:t xml:space="preserve">225bp over SOFR (offshore) / 235bp (onshore)</w:t>
      </w:r>
      <w:r>
        <w:t xml:space="preserve">, with ~12 banks (DBS, Crédit Agricole, ING, UOB among them) on a 3-year loan with two 1-year extension options. AirTrunk is owned by</w:t>
      </w:r>
      <w:r>
        <w:t xml:space="preserve"> </w:t>
      </w:r>
      <w:r>
        <w:rPr>
          <w:b/>
        </w:rPr>
        <w:t xml:space="preserve">Blackstone</w:t>
      </w:r>
      <w:r>
        <w:t xml:space="preserve">.</w:t>
      </w:r>
    </w:p>
    <w:p>
      <w:pPr>
        <w:numPr>
          <w:ilvl w:val="0"/>
          <w:numId w:val="1006"/>
        </w:numPr>
        <w:pStyle w:val="Compact"/>
      </w:pPr>
      <w:r>
        <w:rPr>
          <w:b/>
        </w:rPr>
        <w:t xml:space="preserve">Princeton Digital Group (JC3) — US$456m (Indonesia).</w:t>
      </w:r>
      <w:r>
        <w:t xml:space="preserve"> </w:t>
      </w:r>
      <w:r>
        <w:t xml:space="preserve">A green loan for the</w:t>
      </w:r>
      <w:r>
        <w:t xml:space="preserve"> </w:t>
      </w:r>
      <w:r>
        <w:rPr>
          <w:b/>
        </w:rPr>
        <w:t xml:space="preserve">120MW JC3 campus</w:t>
      </w:r>
      <w:r>
        <w:t xml:space="preserve"> </w:t>
      </w:r>
      <w:r>
        <w:t xml:space="preserve">in Greater Jakarta — US$400m term loan + US$50m revolver, ~4-year tenor, with a</w:t>
      </w:r>
      <w:r>
        <w:t xml:space="preserve"> </w:t>
      </w:r>
      <w:r>
        <w:rPr>
          <w:b/>
        </w:rPr>
        <w:t xml:space="preserve">US$400m accordion</w:t>
      </w:r>
      <w:r>
        <w:t xml:space="preserve"> </w:t>
      </w:r>
      <w:r>
        <w:t xml:space="preserve">to fund the next phase.</w:t>
      </w:r>
      <w:r>
        <w:t xml:space="preserve"> </w:t>
      </w:r>
      <w:r>
        <w:rPr>
          <w:b/>
        </w:rPr>
        <w:t xml:space="preserve">A dozen lenders</w:t>
      </w:r>
      <w:r>
        <w:t xml:space="preserve"> </w:t>
      </w:r>
      <w:r>
        <w:t xml:space="preserve">joined behind MLABs DBS, HSBC, Maybank, Standard Chartered and SMBC.</w:t>
      </w:r>
    </w:p>
    <w:p>
      <w:pPr>
        <w:numPr>
          <w:ilvl w:val="0"/>
          <w:numId w:val="1006"/>
        </w:numPr>
        <w:pStyle w:val="Compact"/>
      </w:pPr>
      <w:r>
        <w:rPr>
          <w:b/>
        </w:rPr>
        <w:t xml:space="preserve">Bridge Data Centres (Malaysia)</w:t>
      </w:r>
      <w:r>
        <w:t xml:space="preserve"> </w:t>
      </w:r>
      <w:r>
        <w:t xml:space="preserve">is also flagged as returning with a</w:t>
      </w:r>
      <w:r>
        <w:t xml:space="preserve"> </w:t>
      </w:r>
      <w:r>
        <w:rPr>
          <w:b/>
        </w:rPr>
        <w:t xml:space="preserve">billion-plus</w:t>
      </w:r>
      <w:r>
        <w:t xml:space="preserve"> </w:t>
      </w:r>
      <w:r>
        <w:t xml:space="preserve">financing (size still to be set).</w:t>
      </w:r>
    </w:p>
    <w:p>
      <w:pPr>
        <w:pStyle w:val="FirstParagraph"/>
      </w:pPr>
      <w:r>
        <w:t xml:space="preserve">Put DayOne and AirTrunk together and you already have</w:t>
      </w:r>
      <w:r>
        <w:t xml:space="preserve"> </w:t>
      </w:r>
      <w:r>
        <w:rPr>
          <w:b/>
        </w:rPr>
        <w:t xml:space="preserve">~US$6bn</w:t>
      </w:r>
      <w:r>
        <w:t xml:space="preserve"> </w:t>
      </w:r>
      <w:r>
        <w:t xml:space="preserve">of new Malaysian data-centre debt in the pipeline this year — on its own enough to clear 2025’s full-year US$8bn.</w:t>
      </w:r>
    </w:p>
    <w:p>
      <w:pPr>
        <w:pStyle w:val="Heading3"/>
      </w:pPr>
      <w:bookmarkStart w:id="26" w:name="why-this-is-a-lender-story"/>
      <w:r>
        <w:t xml:space="preserve">3.3 Why this is a</w:t>
      </w:r>
      <w:r>
        <w:t xml:space="preserve"> </w:t>
      </w:r>
      <w:r>
        <w:rPr>
          <w:i/>
        </w:rPr>
        <w:t xml:space="preserve">lender</w:t>
      </w:r>
      <w:r>
        <w:t xml:space="preserve"> </w:t>
      </w:r>
      <w:r>
        <w:t xml:space="preserve">story</w:t>
      </w:r>
      <w:bookmarkEnd w:id="26"/>
    </w:p>
    <w:p>
      <w:pPr>
        <w:pStyle w:val="FirstParagraph"/>
      </w:pPr>
      <w:r>
        <w:t xml:space="preserve">Here is the part to read twice. The constraint is shifting from</w:t>
      </w:r>
      <w:r>
        <w:t xml:space="preserve"> </w:t>
      </w:r>
      <w:r>
        <w:rPr>
          <w:i/>
        </w:rPr>
        <w:t xml:space="preserve">can the borrower raise it?</w:t>
      </w:r>
      <w:r>
        <w:t xml:space="preserve"> </w:t>
      </w:r>
      <w:r>
        <w:t xml:space="preserve">to</w:t>
      </w:r>
      <w:r>
        <w:t xml:space="preserve"> </w:t>
      </w:r>
      <w:r>
        <w:rPr>
          <w:b/>
        </w:rPr>
        <w:t xml:space="preserve">can the banks hold it?</w:t>
      </w:r>
    </w:p>
    <w:p>
      <w:pPr>
        <w:numPr>
          <w:ilvl w:val="0"/>
          <w:numId w:val="1007"/>
        </w:numPr>
        <w:pStyle w:val="Compact"/>
      </w:pPr>
      <w:r>
        <w:rPr>
          <w:b/>
        </w:rPr>
        <w:t xml:space="preserve">Single-name and offtaker concentration.</w:t>
      </w:r>
      <w:r>
        <w:t xml:space="preserve"> </w:t>
      </w:r>
      <w:r>
        <w:t xml:space="preserve">Developers are asking for</w:t>
      </w:r>
      <w:r>
        <w:t xml:space="preserve"> </w:t>
      </w:r>
      <w:r>
        <w:rPr>
          <w:b/>
        </w:rPr>
        <w:t xml:space="preserve">US$3bn–4bn for a</w:t>
      </w:r>
      <w:r>
        <w:rPr>
          <w:b/>
        </w:rPr>
        <w:t xml:space="preserve"> </w:t>
      </w:r>
      <w:r>
        <w:rPr>
          <w:i/>
          <w:b/>
        </w:rPr>
        <w:t xml:space="preserve">single site</w:t>
      </w:r>
      <w:r>
        <w:rPr>
          <w:b/>
        </w:rPr>
        <w:t xml:space="preserve">.</w:t>
      </w:r>
      <w:r>
        <w:t xml:space="preserve"> </w:t>
      </w:r>
      <w:r>
        <w:t xml:space="preserve">Worse, the customers behind these campuses are the</w:t>
      </w:r>
      <w:r>
        <w:t xml:space="preserve"> </w:t>
      </w:r>
      <w:r>
        <w:rPr>
          <w:b/>
        </w:rPr>
        <w:t xml:space="preserve">same group of about seven</w:t>
      </w:r>
      <w:r>
        <w:t xml:space="preserve"> </w:t>
      </w:r>
      <w:r>
        <w:t xml:space="preserve">American and Asian hyperscalers — who are</w:t>
      </w:r>
      <w:r>
        <w:t xml:space="preserve"> </w:t>
      </w:r>
      <w:r>
        <w:rPr>
          <w:i/>
        </w:rPr>
        <w:t xml:space="preserve">also</w:t>
      </w:r>
      <w:r>
        <w:t xml:space="preserve"> </w:t>
      </w:r>
      <w:r>
        <w:t xml:space="preserve">big corporate borrowers in their own right. So a bank lending to a DayOne campus</w:t>
      </w:r>
      <w:r>
        <w:t xml:space="preserve"> </w:t>
      </w:r>
      <w:r>
        <w:rPr>
          <w:i/>
        </w:rPr>
        <w:t xml:space="preserve">and</w:t>
      </w:r>
      <w:r>
        <w:t xml:space="preserve"> </w:t>
      </w:r>
      <w:r>
        <w:t xml:space="preserve">to an AirTrunk campus may be doubling up on the</w:t>
      </w:r>
      <w:r>
        <w:t xml:space="preserve"> </w:t>
      </w:r>
      <w:r>
        <w:rPr>
          <w:b/>
        </w:rPr>
        <w:t xml:space="preserve">same end-tenant</w:t>
      </w:r>
      <w:r>
        <w:t xml:space="preserve">. The report notes some banks are</w:t>
      </w:r>
      <w:r>
        <w:t xml:space="preserve"> </w:t>
      </w:r>
      <w:r>
        <w:rPr>
          <w:b/>
        </w:rPr>
        <w:t xml:space="preserve">“</w:t>
      </w:r>
      <w:r>
        <w:rPr>
          <w:b/>
        </w:rPr>
        <w:t xml:space="preserve">full</w:t>
      </w:r>
      <w:r>
        <w:rPr>
          <w:b/>
        </w:rPr>
        <w:t xml:space="preserve">”</w:t>
      </w:r>
      <w:r>
        <w:rPr>
          <w:b/>
        </w:rPr>
        <w:t xml:space="preserve"> </w:t>
      </w:r>
      <w:r>
        <w:rPr>
          <w:b/>
        </w:rPr>
        <w:t xml:space="preserve">on Oracle</w:t>
      </w:r>
      <w:r>
        <w:t xml:space="preserve"> </w:t>
      </w:r>
      <w:r>
        <w:t xml:space="preserve">after Oracle’s huge US data-centre push (including a</w:t>
      </w:r>
      <w:r>
        <w:t xml:space="preserve"> </w:t>
      </w:r>
      <w:r>
        <w:rPr>
          <w:b/>
        </w:rPr>
        <w:t xml:space="preserve">US$37.5bn</w:t>
      </w:r>
      <w:r>
        <w:t xml:space="preserve"> </w:t>
      </w:r>
      <w:r>
        <w:t xml:space="preserve">project financing behind two Vantage campuses, with loan-to-cost of ~93% and ~98% on the two tranches).</w:t>
      </w:r>
    </w:p>
    <w:p>
      <w:pPr>
        <w:numPr>
          <w:ilvl w:val="0"/>
          <w:numId w:val="1007"/>
        </w:numPr>
        <w:pStyle w:val="Compact"/>
      </w:pPr>
      <w:r>
        <w:rPr>
          <w:b/>
        </w:rPr>
        <w:t xml:space="preserve">Geopolitics narrows the pool further.</w:t>
      </w:r>
      <w:r>
        <w:t xml:space="preserve"> </w:t>
      </w:r>
      <w:r>
        <w:t xml:space="preserve">Projects with</w:t>
      </w:r>
      <w:r>
        <w:t xml:space="preserve"> </w:t>
      </w:r>
      <w:r>
        <w:rPr>
          <w:b/>
        </w:rPr>
        <w:t xml:space="preserve">ByteDance</w:t>
      </w:r>
      <w:r>
        <w:t xml:space="preserve"> </w:t>
      </w:r>
      <w:r>
        <w:t xml:space="preserve">(TikTok’s parent) as the offtaker attract only a limited set of relationship banks because of geopolitical risk.</w:t>
      </w:r>
    </w:p>
    <w:p>
      <w:pPr>
        <w:numPr>
          <w:ilvl w:val="0"/>
          <w:numId w:val="1007"/>
        </w:numPr>
        <w:pStyle w:val="Compact"/>
      </w:pPr>
      <w:r>
        <w:rPr>
          <w:b/>
        </w:rPr>
        <w:t xml:space="preserve">The banks are getting selective.</w:t>
      </w:r>
      <w:r>
        <w:t xml:space="preserve"> </w:t>
      </w:r>
      <w:r>
        <w:t xml:space="preserve">“</w:t>
      </w:r>
      <w:r>
        <w:t xml:space="preserve">From a sellside perspective, we are looking at our exposure across</w:t>
      </w:r>
      <w:r>
        <w:t xml:space="preserve"> </w:t>
      </w:r>
      <w:r>
        <w:rPr>
          <w:b/>
        </w:rPr>
        <w:t xml:space="preserve">country, offtaker and developer</w:t>
      </w:r>
      <w:r>
        <w:t xml:space="preserve">,</w:t>
      </w:r>
      <w:r>
        <w:t xml:space="preserve">”</w:t>
      </w:r>
      <w:r>
        <w:t xml:space="preserve"> </w:t>
      </w:r>
      <w:r>
        <w:t xml:space="preserve">one senior banker says,</w:t>
      </w:r>
      <w:r>
        <w:t xml:space="preserve"> </w:t>
      </w:r>
      <w:r>
        <w:t xml:space="preserve">“</w:t>
      </w:r>
      <w:r>
        <w:t xml:space="preserve">and are increasingly selective on terms and structure.</w:t>
      </w:r>
      <w:r>
        <w:t xml:space="preserve">”</w:t>
      </w:r>
      <w:r>
        <w:t xml:space="preserve"> </w:t>
      </w:r>
      <w:r>
        <w:t xml:space="preserve">In other words, the limiting factor on the next wave of campuses may simply be</w:t>
      </w:r>
      <w:r>
        <w:t xml:space="preserve"> </w:t>
      </w:r>
      <w:r>
        <w:rPr>
          <w:b/>
        </w:rPr>
        <w:t xml:space="preserve">how much exposure the banking system can absorb.</w:t>
      </w:r>
    </w:p>
    <w:p>
      <w:pPr>
        <w:pStyle w:val="Heading3"/>
      </w:pPr>
      <w:bookmarkStart w:id="27" w:name="Xf5c03e807c4cfdbd0d1f1b9f88798cd6a959e4d"/>
      <w:r>
        <w:t xml:space="preserve">3.4 Borrower-friendly terms and the leverage creep</w:t>
      </w:r>
      <w:bookmarkEnd w:id="27"/>
    </w:p>
    <w:p>
      <w:pPr>
        <w:pStyle w:val="FirstParagraph"/>
      </w:pPr>
      <w:r>
        <w:t xml:space="preserve">Because the sector is hot,</w:t>
      </w:r>
      <w:r>
        <w:t xml:space="preserve"> </w:t>
      </w:r>
      <w:r>
        <w:rPr>
          <w:b/>
        </w:rPr>
        <w:t xml:space="preserve">the borrowers hold the pen</w:t>
      </w:r>
      <w:r>
        <w:t xml:space="preserve">:</w:t>
      </w:r>
    </w:p>
    <w:p>
      <w:pPr>
        <w:numPr>
          <w:ilvl w:val="0"/>
          <w:numId w:val="1008"/>
        </w:numPr>
        <w:pStyle w:val="Compact"/>
      </w:pPr>
      <w:r>
        <w:rPr>
          <w:b/>
        </w:rPr>
        <w:t xml:space="preserve">Loan-to-cost is rising above 90%</w:t>
      </w:r>
      <w:r>
        <w:t xml:space="preserve"> </w:t>
      </w:r>
      <w:r>
        <w:t xml:space="preserve">on some deals — a thin equity cushion under the lenders.</w:t>
      </w:r>
    </w:p>
    <w:p>
      <w:pPr>
        <w:numPr>
          <w:ilvl w:val="0"/>
          <w:numId w:val="1008"/>
        </w:numPr>
        <w:pStyle w:val="Compact"/>
      </w:pPr>
      <w:r>
        <w:rPr>
          <w:b/>
        </w:rPr>
        <w:t xml:space="preserve">Covenants are being stripped</w:t>
      </w:r>
      <w:r>
        <w:t xml:space="preserve"> </w:t>
      </w:r>
      <w:r>
        <w:t xml:space="preserve">to</w:t>
      </w:r>
      <w:r>
        <w:t xml:space="preserve"> </w:t>
      </w:r>
      <w:r>
        <w:t xml:space="preserve">“</w:t>
      </w:r>
      <w:r>
        <w:t xml:space="preserve">almost nothing other than a cap on debt</w:t>
      </w:r>
      <w:r>
        <w:t xml:space="preserve">”</w:t>
      </w:r>
      <w:r>
        <w:t xml:space="preserve"> </w:t>
      </w:r>
      <w:r>
        <w:t xml:space="preserve">(cov-lite).</w:t>
      </w:r>
    </w:p>
    <w:p>
      <w:pPr>
        <w:numPr>
          <w:ilvl w:val="0"/>
          <w:numId w:val="1008"/>
        </w:numPr>
        <w:pStyle w:val="Compact"/>
      </w:pPr>
      <w:r>
        <w:rPr>
          <w:b/>
        </w:rPr>
        <w:t xml:space="preserve">Guarantees and change-of-control protections are being removed.</w:t>
      </w:r>
      <w:r>
        <w:t xml:space="preserve"> </w:t>
      </w:r>
      <w:r>
        <w:t xml:space="preserve">DayOne actually</w:t>
      </w:r>
      <w:r>
        <w:t xml:space="preserve"> </w:t>
      </w:r>
      <w:r>
        <w:rPr>
          <w:i/>
        </w:rPr>
        <w:t xml:space="preserve">amended out</w:t>
      </w:r>
      <w:r>
        <w:t xml:space="preserve"> </w:t>
      </w:r>
      <w:r>
        <w:t xml:space="preserve">the parent guarantee on last year’s loan once some capacity went live.</w:t>
      </w:r>
    </w:p>
    <w:p>
      <w:pPr>
        <w:numPr>
          <w:ilvl w:val="0"/>
          <w:numId w:val="1008"/>
        </w:numPr>
        <w:pStyle w:val="Compact"/>
      </w:pPr>
      <w:r>
        <w:rPr>
          <w:b/>
        </w:rPr>
        <w:t xml:space="preserve">Offtake renewal is the quiet risk.</w:t>
      </w:r>
      <w:r>
        <w:t xml:space="preserve"> </w:t>
      </w:r>
      <w:r>
        <w:t xml:space="preserve">Leases run 7–10 years (often</w:t>
      </w:r>
      <w:r>
        <w:t xml:space="preserve"> </w:t>
      </w:r>
      <w:r>
        <w:t xml:space="preserve">“</w:t>
      </w:r>
      <w:r>
        <w:t xml:space="preserve">5+5</w:t>
      </w:r>
      <w:r>
        <w:t xml:space="preserve">”</w:t>
      </w:r>
      <w:r>
        <w:t xml:space="preserve">), and a lot of the credit case</w:t>
      </w:r>
      <w:r>
        <w:t xml:space="preserve"> </w:t>
      </w:r>
      <w:r>
        <w:rPr>
          <w:i/>
        </w:rPr>
        <w:t xml:space="preserve">assumes the tenant renews.</w:t>
      </w:r>
      <w:r>
        <w:t xml:space="preserve"> </w:t>
      </w:r>
      <w:r>
        <w:t xml:space="preserve">But renewal is</w:t>
      </w:r>
      <w:r>
        <w:t xml:space="preserve"> </w:t>
      </w:r>
      <w:r>
        <w:rPr>
          <w:b/>
        </w:rPr>
        <w:t xml:space="preserve">at the offtaker’s discretion</w:t>
      </w:r>
      <w:r>
        <w:t xml:space="preserve"> </w:t>
      </w:r>
      <w:r>
        <w:t xml:space="preserve">— and, as one buyside banker put it,</w:t>
      </w:r>
      <w:r>
        <w:t xml:space="preserve"> </w:t>
      </w:r>
      <w:r>
        <w:t xml:space="preserve">“</w:t>
      </w:r>
      <w:r>
        <w:t xml:space="preserve">in seven or 10 years if technology changes, they may not renew… there is a reason they are signing a seven-year lease and they have the option to walk away.</w:t>
      </w:r>
      <w:r>
        <w:t xml:space="preserve">”</w:t>
      </w:r>
      <w:r>
        <w:t xml:space="preserve"> </w:t>
      </w:r>
      <w:r>
        <w:t xml:space="preserve">No one has yet seen a full</w:t>
      </w:r>
      <w:r>
        <w:t xml:space="preserve"> </w:t>
      </w:r>
      <w:r>
        <w:rPr>
          <w:b/>
        </w:rPr>
        <w:t xml:space="preserve">lease-renewal cycle</w:t>
      </w:r>
      <w:r>
        <w:t xml:space="preserve"> </w:t>
      </w:r>
      <w:r>
        <w:t xml:space="preserve">for this young asset class.</w:t>
      </w:r>
    </w:p>
    <w:p>
      <w:pPr>
        <w:pStyle w:val="Heading3"/>
      </w:pPr>
      <w:bookmarkStart w:id="28" w:name="X1da4d86d35c1fd8edb933aa911b53192e333ac1"/>
      <w:r>
        <w:t xml:space="preserve">3.5 The</w:t>
      </w:r>
      <w:r>
        <w:t xml:space="preserve"> </w:t>
      </w:r>
      <w:r>
        <w:t xml:space="preserve">“</w:t>
      </w:r>
      <w:r>
        <w:t xml:space="preserve">Asia hasn’t repriced</w:t>
      </w:r>
      <w:r>
        <w:t xml:space="preserve">”</w:t>
      </w:r>
      <w:r>
        <w:t xml:space="preserve"> </w:t>
      </w:r>
      <w:r>
        <w:t xml:space="preserve">debate — read this twice</w:t>
      </w:r>
      <w:bookmarkEnd w:id="28"/>
    </w:p>
    <w:p>
      <w:pPr>
        <w:pStyle w:val="FirstParagraph"/>
      </w:pPr>
      <w:r>
        <w:t xml:space="preserve">The single most useful sentence for your supervisor discussion:</w:t>
      </w:r>
      <w:r>
        <w:t xml:space="preserve"> </w:t>
      </w:r>
      <w:r>
        <w:rPr>
          <w:i/>
        </w:rPr>
        <w:t xml:space="preserve">“</w:t>
      </w:r>
      <w:r>
        <w:rPr>
          <w:i/>
        </w:rPr>
        <w:t xml:space="preserve">As banks keep underwriting, pricing has ticked up in the US and Europe, but in Asia it hasn’t… Asia is behind, but limits are the same globally.</w:t>
      </w:r>
      <w:r>
        <w:rPr>
          <w:i/>
        </w:rPr>
        <w:t xml:space="preserve">”</w:t>
      </w:r>
    </w:p>
    <w:p>
      <w:pPr>
        <w:pStyle w:val="BodyText"/>
      </w:pPr>
      <w:r>
        <w:t xml:space="preserve">Translation: lenders everywhere face the</w:t>
      </w:r>
      <w:r>
        <w:t xml:space="preserve"> </w:t>
      </w:r>
      <w:r>
        <w:rPr>
          <w:b/>
        </w:rPr>
        <w:t xml:space="preserve">same</w:t>
      </w:r>
      <w:r>
        <w:t xml:space="preserve"> </w:t>
      </w:r>
      <w:r>
        <w:t xml:space="preserve">balance-sheet limits, but only the US and Europe have pushed</w:t>
      </w:r>
      <w:r>
        <w:t xml:space="preserve"> </w:t>
      </w:r>
      <w:r>
        <w:rPr>
          <w:b/>
        </w:rPr>
        <w:t xml:space="preserve">spreads up</w:t>
      </w:r>
      <w:r>
        <w:t xml:space="preserve"> </w:t>
      </w:r>
      <w:r>
        <w:t xml:space="preserve">to reflect tighter capacity and rising risk. Asian data-centre margins have</w:t>
      </w:r>
      <w:r>
        <w:t xml:space="preserve"> </w:t>
      </w:r>
      <w:r>
        <w:rPr>
          <w:b/>
        </w:rPr>
        <w:t xml:space="preserve">lagged</w:t>
      </w:r>
      <w:r>
        <w:t xml:space="preserve">. That gap can close in two ways — Asian spreads rise (good for lenders, the likely direction), or Asian banks keep saying yes at thin pricing until something forces a reset. Either way, the risk-versus-reward on Asian data-centre paper is the live question.</w:t>
      </w:r>
    </w:p>
    <w:p>
      <w:r>
        <w:pict>
          <v:rect style="width:0;height:1.5pt" o:hralign="center" o:hrstd="t" o:hr="t"/>
        </w:pict>
      </w:r>
    </w:p>
    <w:p>
      <w:pPr>
        <w:pStyle w:val="Heading2"/>
      </w:pPr>
      <w:bookmarkStart w:id="29" w:name="X41d01330c2044db1d12ea82ba16448ef9b2f1b7"/>
      <w:r>
        <w:t xml:space="preserve">4. Taiwan &amp; CTBC deep dive — why Taiwanese banks sit out the boom, and where CTBC leans in</w:t>
      </w:r>
      <w:bookmarkEnd w:id="29"/>
    </w:p>
    <w:p>
      <w:pPr>
        <w:pStyle w:val="Heading3"/>
      </w:pPr>
      <w:bookmarkStart w:id="30" w:name="Xf9e65a55012ee5307cc301a05271c23895bd55b"/>
      <w:r>
        <w:t xml:space="preserve">Why the most active lenders in Asia are</w:t>
      </w:r>
      <w:r>
        <w:t xml:space="preserve"> </w:t>
      </w:r>
      <w:r>
        <w:rPr>
          <w:i/>
        </w:rPr>
        <w:t xml:space="preserve">cautious</w:t>
      </w:r>
      <w:r>
        <w:t xml:space="preserve"> </w:t>
      </w:r>
      <w:r>
        <w:t xml:space="preserve">here</w:t>
      </w:r>
      <w:bookmarkEnd w:id="30"/>
    </w:p>
    <w:p>
      <w:pPr>
        <w:pStyle w:val="FirstParagraph"/>
      </w:pPr>
      <w:r>
        <w:t xml:space="preserve">Taiwanese banks are described as</w:t>
      </w:r>
      <w:r>
        <w:t xml:space="preserve"> </w:t>
      </w:r>
      <w:r>
        <w:rPr>
          <w:b/>
        </w:rPr>
        <w:t xml:space="preserve">“</w:t>
      </w:r>
      <w:r>
        <w:rPr>
          <w:b/>
        </w:rPr>
        <w:t xml:space="preserve">the most active retail lenders in Asia</w:t>
      </w:r>
      <w:r>
        <w:rPr>
          <w:b/>
        </w:rPr>
        <w:t xml:space="preserve">”</w:t>
      </w:r>
      <w:r>
        <w:t xml:space="preserve"> </w:t>
      </w:r>
      <w:r>
        <w:t xml:space="preserve">— yet their appetite for data centres is</w:t>
      </w:r>
      <w:r>
        <w:t xml:space="preserve"> </w:t>
      </w:r>
      <w:r>
        <w:rPr>
          <w:b/>
        </w:rPr>
        <w:t xml:space="preserve">limited.</w:t>
      </w:r>
      <w:r>
        <w:t xml:space="preserve"> </w:t>
      </w:r>
      <w:r>
        <w:t xml:space="preserve">The reason is a rule worth knowing by name:</w:t>
      </w:r>
    </w:p>
    <w:p>
      <w:pPr>
        <w:pStyle w:val="BlockText"/>
      </w:pPr>
      <w:r>
        <w:rPr>
          <w:b/>
        </w:rPr>
        <w:t xml:space="preserve">Article 72-2 of Taiwan’s Banking Act</w:t>
      </w:r>
      <w:r>
        <w:t xml:space="preserve"> </w:t>
      </w:r>
      <w:r>
        <w:t xml:space="preserve">caps a commercial bank’s</w:t>
      </w:r>
      <w:r>
        <w:t xml:space="preserve"> </w:t>
      </w:r>
      <w:r>
        <w:rPr>
          <w:b/>
        </w:rPr>
        <w:t xml:space="preserve">aggregate real-estate lending at 30% of its total deposits and financial debentures.</w:t>
      </w:r>
    </w:p>
    <w:p>
      <w:pPr>
        <w:pStyle w:val="FirstParagraph"/>
      </w:pPr>
      <w:r>
        <w:t xml:space="preserve">Most Taiwanese banks treat data-centre loans as an</w:t>
      </w:r>
      <w:r>
        <w:t xml:space="preserve"> </w:t>
      </w:r>
      <w:r>
        <w:rPr>
          <w:b/>
        </w:rPr>
        <w:t xml:space="preserve">extension of real-estate exposure</w:t>
      </w:r>
      <w:r>
        <w:t xml:space="preserve"> </w:t>
      </w:r>
      <w:r>
        <w:t xml:space="preserve">(a big building full of servers) rather than pure infrastructure — so those loans eat into the same 30% bucket as mortgages and property loans. As a senior Taiwanese loan banker says:</w:t>
      </w:r>
      <w:r>
        <w:t xml:space="preserve"> </w:t>
      </w:r>
      <w:r>
        <w:t xml:space="preserve">“</w:t>
      </w:r>
      <w:r>
        <w:t xml:space="preserve">Given the statutory cap… we remain highly conservative towards large-ticket loans and may only</w:t>
      </w:r>
      <w:r>
        <w:t xml:space="preserve"> </w:t>
      </w:r>
      <w:r>
        <w:rPr>
          <w:b/>
        </w:rPr>
        <w:t xml:space="preserve">test the waters</w:t>
      </w:r>
      <w:r>
        <w:t xml:space="preserve"> </w:t>
      </w:r>
      <w:r>
        <w:t xml:space="preserve">for loans with smaller commitments and tighter structures.</w:t>
      </w:r>
      <w:r>
        <w:t xml:space="preserve">”</w:t>
      </w:r>
      <w:r>
        <w:t xml:space="preserve"> </w:t>
      </w:r>
      <w:r>
        <w:t xml:space="preserve">So Taiwanese banks tend to take</w:t>
      </w:r>
      <w:r>
        <w:t xml:space="preserve"> </w:t>
      </w:r>
      <w:r>
        <w:rPr>
          <w:b/>
        </w:rPr>
        <w:t xml:space="preserve">small tickets</w:t>
      </w:r>
      <w:r>
        <w:t xml:space="preserve">, which thins the natural buyer base for these jumbo deals.</w:t>
      </w:r>
    </w:p>
    <w:p>
      <w:pPr>
        <w:pStyle w:val="Heading3"/>
      </w:pPr>
      <w:bookmarkStart w:id="31" w:name="where-ctbc-is-leaning-in-this-week"/>
      <w:r>
        <w:t xml:space="preserve">Where CTBC</w:t>
      </w:r>
      <w:r>
        <w:t xml:space="preserve"> </w:t>
      </w:r>
      <w:r>
        <w:rPr>
          <w:i/>
        </w:rPr>
        <w:t xml:space="preserve">is</w:t>
      </w:r>
      <w:r>
        <w:t xml:space="preserve"> </w:t>
      </w:r>
      <w:r>
        <w:t xml:space="preserve">leaning in this week</w:t>
      </w:r>
      <w:bookmarkEnd w:id="31"/>
    </w:p>
    <w:p>
      <w:pPr>
        <w:pStyle w:val="FirstParagraph"/>
      </w:pPr>
      <w:r>
        <w:t xml:space="preserve">Even as it stays disciplined on data centres, CTBC shows up in three places — and two of them are</w:t>
      </w:r>
      <w:r>
        <w:t xml:space="preserve"> </w:t>
      </w:r>
      <w:r>
        <w:rPr>
          <w:b/>
        </w:rPr>
        <w:t xml:space="preserve">lead</w:t>
      </w:r>
      <w:r>
        <w:t xml:space="preserve"> </w:t>
      </w:r>
      <w:r>
        <w:t xml:space="preserve">roles, which is what matters for league-table credit and fees:</w:t>
      </w:r>
    </w:p>
    <w:p>
      <w:pPr>
        <w:numPr>
          <w:ilvl w:val="0"/>
          <w:numId w:val="1009"/>
        </w:numPr>
        <w:pStyle w:val="Compact"/>
      </w:pPr>
      <w:r>
        <w:rPr>
          <w:b/>
        </w:rPr>
        <w:t xml:space="preserve">ASE / SPIL — NT$80bn (US$2.52bn), and CTBC leads half of it.</w:t>
      </w:r>
      <w:r>
        <w:t xml:space="preserve"> </w:t>
      </w:r>
      <w:r>
        <w:t xml:space="preserve">ASE Technology Holding (the world’s largest chip assembly-and-test, or</w:t>
      </w:r>
      <w:r>
        <w:t xml:space="preserve"> </w:t>
      </w:r>
      <w:r>
        <w:rPr>
          <w:b/>
        </w:rPr>
        <w:t xml:space="preserve">OSAT</w:t>
      </w:r>
      <w:r>
        <w:t xml:space="preserve">, firm) is raising NT$80bn split as</w:t>
      </w:r>
      <w:r>
        <w:t xml:space="preserve"> </w:t>
      </w:r>
      <w:r>
        <w:rPr>
          <w:b/>
        </w:rPr>
        <w:t xml:space="preserve">NT$40bn each</w:t>
      </w:r>
      <w:r>
        <w:t xml:space="preserve"> </w:t>
      </w:r>
      <w:r>
        <w:t xml:space="preserve">through its two operating subsidiaries — Advanced Semiconductor Engineering (ASE) and</w:t>
      </w:r>
      <w:r>
        <w:t xml:space="preserve"> </w:t>
      </w:r>
      <w:r>
        <w:rPr>
          <w:b/>
        </w:rPr>
        <w:t xml:space="preserve">Siliconware Precision Industries (SPIL)</w:t>
      </w:r>
      <w:r>
        <w:t xml:space="preserve">.</w:t>
      </w:r>
      <w:r>
        <w:t xml:space="preserve"> </w:t>
      </w:r>
      <w:r>
        <w:rPr>
          <w:b/>
        </w:rPr>
        <w:t xml:space="preserve">Bank of Taiwan leads the ASE half; CTBC Bank leads the SPIL half.</w:t>
      </w:r>
      <w:r>
        <w:t xml:space="preserve"> </w:t>
      </w:r>
      <w:r>
        <w:t xml:space="preserve">The two are syndicated simultaneously but separately. Pricing is expected to be roughly</w:t>
      </w:r>
      <w:r>
        <w:t xml:space="preserve"> </w:t>
      </w:r>
      <w:r>
        <w:rPr>
          <w:b/>
        </w:rPr>
        <w:t xml:space="preserve">in line with last year’s ~37bp over Taibor</w:t>
      </w:r>
      <w:r>
        <w:t xml:space="preserve"> </w:t>
      </w:r>
      <w:r>
        <w:t xml:space="preserve">(with a 1.7% floor) — extremely tight, reflecting ASE’s negotiating power. (Note: this is the same ASE jumbo flagged in last week’s reading — what’s</w:t>
      </w:r>
      <w:r>
        <w:t xml:space="preserve"> </w:t>
      </w:r>
      <w:r>
        <w:rPr>
          <w:i/>
        </w:rPr>
        <w:t xml:space="preserve">new</w:t>
      </w:r>
      <w:r>
        <w:t xml:space="preserve"> </w:t>
      </w:r>
      <w:r>
        <w:t xml:space="preserve">is that CTBC is confirmed as lead for the SPIL tranche.)</w:t>
      </w:r>
    </w:p>
    <w:p>
      <w:pPr>
        <w:numPr>
          <w:ilvl w:val="0"/>
          <w:numId w:val="1009"/>
        </w:numPr>
        <w:pStyle w:val="Compact"/>
      </w:pPr>
      <w:r>
        <w:rPr>
          <w:b/>
        </w:rPr>
        <w:t xml:space="preserve">Apollo / Nippon Sheet Glass — ¥360bn (US$2.25bn) LBO, CTBC as MLAB.</w:t>
      </w:r>
      <w:r>
        <w:t xml:space="preserve"> </w:t>
      </w:r>
      <w:r>
        <w:t xml:space="preserve">Apollo is raising a five-year loan to back its</w:t>
      </w:r>
      <w:r>
        <w:t xml:space="preserve"> </w:t>
      </w:r>
      <w:r>
        <w:rPr>
          <w:b/>
        </w:rPr>
        <w:t xml:space="preserve">leveraged buyout</w:t>
      </w:r>
      <w:r>
        <w:t xml:space="preserve"> </w:t>
      </w:r>
      <w:r>
        <w:t xml:space="preserve">of Tokyo-listed glassmaker Nippon Sheet Glass. The mandated lead arrangers include</w:t>
      </w:r>
      <w:r>
        <w:t xml:space="preserve"> </w:t>
      </w:r>
      <w:r>
        <w:rPr>
          <w:b/>
        </w:rPr>
        <w:t xml:space="preserve">“</w:t>
      </w:r>
      <w:r>
        <w:rPr>
          <w:b/>
        </w:rPr>
        <w:t xml:space="preserve">CBC Bank</w:t>
      </w:r>
      <w:r>
        <w:rPr>
          <w:b/>
        </w:rPr>
        <w:t xml:space="preserve">”</w:t>
      </w:r>
      <w:r>
        <w:rPr>
          <w:b/>
        </w:rPr>
        <w:t xml:space="preserve"> </w:t>
      </w:r>
      <w:r>
        <w:rPr>
          <w:b/>
        </w:rPr>
        <w:t xml:space="preserve">— i.e. CTBC</w:t>
      </w:r>
      <w:r>
        <w:t xml:space="preserve"> </w:t>
      </w:r>
      <w:r>
        <w:t xml:space="preserve">— alongside Barclays, the Development Bank of Japan, Nomura, SBI Shinsei, SMBC and Sumitomo Mitsui Trust. The loan is split into a ¥60bn Term Loan A (275bp), ¥240bn Term Loan B (300bp) and a ¥60bn commitment line (275bp), all over Tonar. This is</w:t>
      </w:r>
      <w:r>
        <w:t xml:space="preserve"> </w:t>
      </w:r>
      <w:r>
        <w:rPr>
          <w:b/>
        </w:rPr>
        <w:t xml:space="preserve">Apollo’s largest-ever private-equity investment in Japan</w:t>
      </w:r>
      <w:r>
        <w:t xml:space="preserve">, so a seat on it is a notable cross-border win for CTBC.</w:t>
      </w:r>
    </w:p>
    <w:p>
      <w:pPr>
        <w:numPr>
          <w:ilvl w:val="0"/>
          <w:numId w:val="1009"/>
        </w:numPr>
        <w:pStyle w:val="Compact"/>
      </w:pPr>
      <w:r>
        <w:rPr>
          <w:b/>
        </w:rPr>
        <w:t xml:space="preserve">Fitness Passport — A$145m incremental, CTBC a relationship lender.</w:t>
      </w:r>
      <w:r>
        <w:t xml:space="preserve"> </w:t>
      </w:r>
      <w:r>
        <w:t xml:space="preserve">EQT-backed Fitness Passport (corporate gym memberships across Australia/NZ) is adding to the</w:t>
      </w:r>
      <w:r>
        <w:t xml:space="preserve"> </w:t>
      </w:r>
      <w:r>
        <w:rPr>
          <w:b/>
        </w:rPr>
        <w:t xml:space="preserve">A$500m six-year LBO loan</w:t>
      </w:r>
      <w:r>
        <w:t xml:space="preserve"> </w:t>
      </w:r>
      <w:r>
        <w:t xml:space="preserve">it closed last September — on which</w:t>
      </w:r>
      <w:r>
        <w:t xml:space="preserve"> </w:t>
      </w:r>
      <w:r>
        <w:rPr>
          <w:b/>
        </w:rPr>
        <w:t xml:space="preserve">CTBC Bank was a mandated lead arranger</w:t>
      </w:r>
      <w:r>
        <w:t xml:space="preserve"> </w:t>
      </w:r>
      <w:r>
        <w:t xml:space="preserve">(alongside Bank SinoPac, BNP Paribas, Cathay United, Crédit Agricole, E.Sun, KGI, MUFG, Standard Chartered, Taipei Fubon and Taishin). That original loan priced at</w:t>
      </w:r>
      <w:r>
        <w:t xml:space="preserve"> </w:t>
      </w:r>
      <w:r>
        <w:rPr>
          <w:b/>
        </w:rPr>
        <w:t xml:space="preserve">350bp over BBSY</w:t>
      </w:r>
      <w:r>
        <w:t xml:space="preserve"> </w:t>
      </w:r>
      <w:r>
        <w:t xml:space="preserve">at ~5.3× leverage.</w:t>
      </w:r>
    </w:p>
    <w:p>
      <w:pPr>
        <w:pStyle w:val="Heading3"/>
      </w:pPr>
      <w:bookmarkStart w:id="32" w:name="the-bigger-ctbc-picture"/>
      <w:r>
        <w:t xml:space="preserve">The bigger CTBC picture</w:t>
      </w:r>
      <w:bookmarkEnd w:id="32"/>
    </w:p>
    <w:p>
      <w:pPr>
        <w:pStyle w:val="FirstParagraph"/>
      </w:pPr>
      <w:r>
        <w:t xml:space="preserve">CTBC has been building real credibility in</w:t>
      </w:r>
      <w:r>
        <w:t xml:space="preserve"> </w:t>
      </w:r>
      <w:r>
        <w:rPr>
          <w:b/>
        </w:rPr>
        <w:t xml:space="preserve">AI-adjacent lending</w:t>
      </w:r>
      <w:r>
        <w:t xml:space="preserve"> </w:t>
      </w:r>
      <w:r>
        <w:t xml:space="preserve">— it led Supermicro’s debut</w:t>
      </w:r>
      <w:r>
        <w:t xml:space="preserve"> </w:t>
      </w:r>
      <w:r>
        <w:rPr>
          <w:b/>
        </w:rPr>
        <w:t xml:space="preserve">~US$1.765bn</w:t>
      </w:r>
      <w:r>
        <w:t xml:space="preserve"> </w:t>
      </w:r>
      <w:r>
        <w:t xml:space="preserve">Taiwan syndicated loan in February 2026, and IFR has named it Taiwan’s most active domestic arranger (</w:t>
      </w:r>
      <w:r>
        <w:t xml:space="preserve">“</w:t>
      </w:r>
      <w:r>
        <w:t xml:space="preserve">Taiwan Loan House</w:t>
      </w:r>
      <w:r>
        <w:t xml:space="preserve">”</w:t>
      </w:r>
      <w:r>
        <w:t xml:space="preserve">). The pattern this week is consistent:</w:t>
      </w:r>
      <w:r>
        <w:t xml:space="preserve"> </w:t>
      </w:r>
      <w:r>
        <w:rPr>
          <w:b/>
        </w:rPr>
        <w:t xml:space="preserve">CTBC chases lead roles in Taiwan semis and selective offshore sponsor/relationship deals, while staying small-ticket on the data-centre megaprojects</w:t>
      </w:r>
      <w:r>
        <w:t xml:space="preserve"> </w:t>
      </w:r>
      <w:r>
        <w:t xml:space="preserve">that its balance-sheet rules make awkward. That’s a coherent, defensible strategy — and a good thing to be able to articulate.</w:t>
      </w:r>
    </w:p>
    <w:p>
      <w:r>
        <w:pict>
          <v:rect style="width:0;height:1.5pt" o:hralign="center" o:hrstd="t" o:hr="t"/>
        </w:pict>
      </w:r>
    </w:p>
    <w:p>
      <w:pPr>
        <w:pStyle w:val="Heading2"/>
      </w:pPr>
      <w:bookmarkStart w:id="33" w:name="X217cd9501de07d6a6f2cc4d0f5926b77cfe1904"/>
      <w:r>
        <w:t xml:space="preserve">5. APAC roundup — the rest of the market, country by country</w:t>
      </w:r>
      <w:bookmarkEnd w:id="33"/>
    </w:p>
    <w:p>
      <w:pPr>
        <w:pStyle w:val="FirstParagraph"/>
      </w:pPr>
      <w:r>
        <w:rPr>
          <w:b/>
        </w:rPr>
        <w:t xml:space="preserve">Australia</w:t>
      </w:r>
      <w:r>
        <w:t xml:space="preserve"> </w:t>
      </w:r>
      <w:r>
        <w:t xml:space="preserve">— the busiest country this week.</w:t>
      </w:r>
    </w:p>
    <w:p>
      <w:pPr>
        <w:numPr>
          <w:ilvl w:val="0"/>
          <w:numId w:val="1010"/>
        </w:numPr>
        <w:pStyle w:val="Compact"/>
      </w:pPr>
      <w:r>
        <w:rPr>
          <w:b/>
        </w:rPr>
        <w:t xml:space="preserve">Endeavour Energy — A$1.8bn (US$1.2bn) A&amp;E.</w:t>
      </w:r>
      <w:r>
        <w:t xml:space="preserve"> </w:t>
      </w:r>
      <w:r>
        <w:t xml:space="preserve">An electricity-distribution network operator amends-and-extends into a five-tranche facility (a 6-year revolver plus 8/9/11/12-year term loans) at</w:t>
      </w:r>
      <w:r>
        <w:t xml:space="preserve"> </w:t>
      </w:r>
      <w:r>
        <w:rPr>
          <w:b/>
        </w:rPr>
        <w:t xml:space="preserve">97.5–157.5bp over BBSY</w:t>
      </w:r>
      <w:r>
        <w:t xml:space="preserve"> </w:t>
      </w:r>
      <w:r>
        <w:t xml:space="preserve">(longer tenor = wider margin). MLABs:</w:t>
      </w:r>
      <w:r>
        <w:t xml:space="preserve"> </w:t>
      </w:r>
      <w:r>
        <w:rPr>
          <w:b/>
        </w:rPr>
        <w:t xml:space="preserve">Commonwealth Bank of Australia (CBA)</w:t>
      </w:r>
      <w:r>
        <w:t xml:space="preserve"> </w:t>
      </w:r>
      <w:r>
        <w:t xml:space="preserve">and</w:t>
      </w:r>
      <w:r>
        <w:t xml:space="preserve"> </w:t>
      </w:r>
      <w:r>
        <w:rPr>
          <w:b/>
        </w:rPr>
        <w:t xml:space="preserve">OCBC</w:t>
      </w:r>
      <w:r>
        <w:t xml:space="preserve">.</w:t>
      </w:r>
      <w:r>
        <w:t xml:space="preserve"> </w:t>
      </w:r>
      <w:r>
        <w:rPr>
          <w:i/>
        </w:rPr>
        <w:t xml:space="preserve">(Note:</w:t>
      </w:r>
      <w:r>
        <w:rPr>
          <w:i/>
        </w:rPr>
        <w:t xml:space="preserve"> </w:t>
      </w:r>
      <w:r>
        <w:rPr>
          <w:i/>
        </w:rPr>
        <w:t xml:space="preserve">“</w:t>
      </w:r>
      <w:r>
        <w:rPr>
          <w:i/>
        </w:rPr>
        <w:t xml:space="preserve">CBA</w:t>
      </w:r>
      <w:r>
        <w:rPr>
          <w:i/>
        </w:rPr>
        <w:t xml:space="preserve">”</w:t>
      </w:r>
      <w:r>
        <w:rPr>
          <w:i/>
        </w:rPr>
        <w:t xml:space="preserve"> </w:t>
      </w:r>
      <w:r>
        <w:rPr>
          <w:i/>
        </w:rPr>
        <w:t xml:space="preserve">is Commonwealth Bank, not CTBC.)</w:t>
      </w:r>
    </w:p>
    <w:p>
      <w:pPr>
        <w:numPr>
          <w:ilvl w:val="0"/>
          <w:numId w:val="1010"/>
        </w:numPr>
        <w:pStyle w:val="Compact"/>
      </w:pPr>
      <w:r>
        <w:rPr>
          <w:b/>
        </w:rPr>
        <w:t xml:space="preserve">Perth Airport — A$500m</w:t>
      </w:r>
      <w:r>
        <w:t xml:space="preserve"> </w:t>
      </w:r>
      <w:r>
        <w:t xml:space="preserve">dual-tranche (7y/10y) at</w:t>
      </w:r>
      <w:r>
        <w:t xml:space="preserve"> </w:t>
      </w:r>
      <w:r>
        <w:rPr>
          <w:b/>
        </w:rPr>
        <w:t xml:space="preserve">105/130bp over BBSY</w:t>
      </w:r>
      <w:r>
        <w:t xml:space="preserve">; MLABs</w:t>
      </w:r>
      <w:r>
        <w:t xml:space="preserve"> </w:t>
      </w:r>
      <w:r>
        <w:rPr>
          <w:b/>
        </w:rPr>
        <w:t xml:space="preserve">Bank of China, CBA, OCBC</w:t>
      </w:r>
      <w:r>
        <w:t xml:space="preserve">; rated Baa2/BBB.</w:t>
      </w:r>
    </w:p>
    <w:p>
      <w:pPr>
        <w:numPr>
          <w:ilvl w:val="0"/>
          <w:numId w:val="1010"/>
        </w:numPr>
        <w:pStyle w:val="Compact"/>
      </w:pPr>
      <w:r>
        <w:rPr>
          <w:b/>
        </w:rPr>
        <w:t xml:space="preserve">Transurban — A$825m</w:t>
      </w:r>
      <w:r>
        <w:t xml:space="preserve"> </w:t>
      </w:r>
      <w:r>
        <w:t xml:space="preserve">new 4-year tranche bolted onto existing debt (lifts the facility to A$3.47bn); tollroad operator.</w:t>
      </w:r>
    </w:p>
    <w:p>
      <w:pPr>
        <w:numPr>
          <w:ilvl w:val="0"/>
          <w:numId w:val="1010"/>
        </w:numPr>
        <w:pStyle w:val="Compact"/>
      </w:pPr>
      <w:r>
        <w:rPr>
          <w:b/>
        </w:rPr>
        <w:t xml:space="preserve">Tabcorp — A$980m (US$699m) A&amp;E with a pricing cut</w:t>
      </w:r>
      <w:r>
        <w:t xml:space="preserve">, extending maturities to 2029–2031; the gambling group is under</w:t>
      </w:r>
      <w:r>
        <w:t xml:space="preserve"> </w:t>
      </w:r>
      <w:r>
        <w:rPr>
          <w:b/>
        </w:rPr>
        <w:t xml:space="preserve">AUSTRAC</w:t>
      </w:r>
      <w:r>
        <w:t xml:space="preserve"> </w:t>
      </w:r>
      <w:r>
        <w:t xml:space="preserve">scrutiny over anti-money-laundering compliance.</w:t>
      </w:r>
    </w:p>
    <w:p>
      <w:pPr>
        <w:numPr>
          <w:ilvl w:val="0"/>
          <w:numId w:val="1010"/>
        </w:numPr>
        <w:pStyle w:val="Compact"/>
      </w:pPr>
      <w:r>
        <w:rPr>
          <w:b/>
        </w:rPr>
        <w:t xml:space="preserve">Australian Vintage — A$128m</w:t>
      </w:r>
      <w:r>
        <w:t xml:space="preserve"> </w:t>
      </w:r>
      <w:r>
        <w:t xml:space="preserve">refinancing with NAB (wine producer; bilateral, small).</w:t>
      </w:r>
    </w:p>
    <w:p>
      <w:pPr>
        <w:numPr>
          <w:ilvl w:val="0"/>
          <w:numId w:val="1010"/>
        </w:numPr>
        <w:pStyle w:val="Compact"/>
      </w:pPr>
      <w:r>
        <w:rPr>
          <w:i/>
        </w:rPr>
        <w:t xml:space="preserve">(Also: EQT’s</w:t>
      </w:r>
      <w:r>
        <w:rPr>
          <w:i/>
        </w:rPr>
        <w:t xml:space="preserve"> </w:t>
      </w:r>
      <w:r>
        <w:rPr>
          <w:b/>
          <w:i/>
        </w:rPr>
        <w:t xml:space="preserve">Fitness Passport</w:t>
      </w:r>
      <w:r>
        <w:rPr>
          <w:i/>
        </w:rPr>
        <w:t xml:space="preserve"> </w:t>
      </w:r>
      <w:r>
        <w:rPr>
          <w:i/>
        </w:rPr>
        <w:t xml:space="preserve">A$145m add-on, covered in §4. And a curiosity —</w:t>
      </w:r>
      <w:r>
        <w:rPr>
          <w:i/>
        </w:rPr>
        <w:t xml:space="preserve"> </w:t>
      </w:r>
      <w:r>
        <w:rPr>
          <w:b/>
          <w:i/>
        </w:rPr>
        <w:t xml:space="preserve">Macro Metals</w:t>
      </w:r>
      <w:r>
        <w:rPr>
          <w:i/>
        </w:rPr>
        <w:t xml:space="preserve"> </w:t>
      </w:r>
      <w:r>
        <w:rPr>
          <w:i/>
        </w:rPr>
        <w:t xml:space="preserve">borrowed A$626,000 from its own chairman to fund a BHP mining-contract guarantee; tiny and related-party, not a syndicated deal.)</w:t>
      </w:r>
    </w:p>
    <w:p>
      <w:pPr>
        <w:pStyle w:val="FirstParagraph"/>
      </w:pPr>
      <w:r>
        <w:rPr>
          <w:b/>
        </w:rPr>
        <w:t xml:space="preserve">China</w:t>
      </w:r>
    </w:p>
    <w:p>
      <w:pPr>
        <w:numPr>
          <w:ilvl w:val="0"/>
          <w:numId w:val="1011"/>
        </w:numPr>
        <w:pStyle w:val="Compact"/>
      </w:pPr>
      <w:r>
        <w:rPr>
          <w:b/>
        </w:rPr>
        <w:t xml:space="preserve">China Vanke — Rmb1.14bn (US$160m) shareholder loan</w:t>
      </w:r>
      <w:r>
        <w:t xml:space="preserve"> </w:t>
      </w:r>
      <w:r>
        <w:t xml:space="preserve">from Shenzhen Metro at</w:t>
      </w:r>
      <w:r>
        <w:t xml:space="preserve"> </w:t>
      </w:r>
      <w:r>
        <w:rPr>
          <w:b/>
        </w:rPr>
        <w:t xml:space="preserve">2.29%</w:t>
      </w:r>
      <w:r>
        <w:t xml:space="preserve"> </w:t>
      </w:r>
      <w:r>
        <w:t xml:space="preserve">(1-year LPR minus 71bp) — the</w:t>
      </w:r>
      <w:r>
        <w:t xml:space="preserve"> </w:t>
      </w:r>
      <w:r>
        <w:rPr>
          <w:b/>
        </w:rPr>
        <w:t xml:space="preserve">second</w:t>
      </w:r>
      <w:r>
        <w:t xml:space="preserve"> </w:t>
      </w:r>
      <w:r>
        <w:t xml:space="preserve">shareholder bailout loan in under a year for the troubled developer, secured on receivables. Fitch has Vanke at</w:t>
      </w:r>
      <w:r>
        <w:t xml:space="preserve"> </w:t>
      </w:r>
      <w:r>
        <w:rPr>
          <w:b/>
        </w:rPr>
        <w:t xml:space="preserve">“</w:t>
      </w:r>
      <w:r>
        <w:rPr>
          <w:b/>
        </w:rPr>
        <w:t xml:space="preserve">restricted default.</w:t>
      </w:r>
      <w:r>
        <w:rPr>
          <w:b/>
        </w:rPr>
        <w:t xml:space="preserve">”</w:t>
      </w:r>
      <w:r>
        <w:t xml:space="preserve"> </w:t>
      </w:r>
      <w:r>
        <w:t xml:space="preserve">A clean illustration of the ongoing China property-distress thread.</w:t>
      </w:r>
    </w:p>
    <w:p>
      <w:pPr>
        <w:numPr>
          <w:ilvl w:val="0"/>
          <w:numId w:val="1011"/>
        </w:numPr>
        <w:pStyle w:val="Compact"/>
      </w:pPr>
      <w:r>
        <w:rPr>
          <w:b/>
        </w:rPr>
        <w:t xml:space="preserve">Nine Dragons Paper — Rmb2bn (US$280m) club loan</w:t>
      </w:r>
      <w:r>
        <w:t xml:space="preserve"> </w:t>
      </w:r>
      <w:r>
        <w:t xml:space="preserve">to fund a tender for its US$400m</w:t>
      </w:r>
      <w:r>
        <w:t xml:space="preserve"> </w:t>
      </w:r>
      <w:r>
        <w:rPr>
          <w:b/>
        </w:rPr>
        <w:t xml:space="preserve">14% perpetual bonds</w:t>
      </w:r>
      <w:r>
        <w:t xml:space="preserve"> </w:t>
      </w:r>
      <w:r>
        <w:t xml:space="preserve">— its first loan in three years. Lenders: BOC, Bank of Communications HK, China Minsheng.</w:t>
      </w:r>
    </w:p>
    <w:p>
      <w:pPr>
        <w:pStyle w:val="FirstParagraph"/>
      </w:pPr>
      <w:r>
        <w:rPr>
          <w:b/>
        </w:rPr>
        <w:t xml:space="preserve">Hong Kong desk / Gulf</w:t>
      </w:r>
      <w:r>
        <w:t xml:space="preserve"> </w:t>
      </w:r>
      <w:r>
        <w:t xml:space="preserve">(run out of HK but Middle-East borrowers)</w:t>
      </w:r>
    </w:p>
    <w:p>
      <w:pPr>
        <w:numPr>
          <w:ilvl w:val="0"/>
          <w:numId w:val="1012"/>
        </w:numPr>
        <w:pStyle w:val="Compact"/>
      </w:pPr>
      <w:r>
        <w:rPr>
          <w:b/>
        </w:rPr>
        <w:t xml:space="preserve">Dubai Islamic Bank — US$750m</w:t>
      </w:r>
      <w:r>
        <w:t xml:space="preserve"> </w:t>
      </w:r>
      <w:r>
        <w:t xml:space="preserve">three-year senior unsecured</w:t>
      </w:r>
      <w:r>
        <w:t xml:space="preserve"> </w:t>
      </w:r>
      <w:r>
        <w:rPr>
          <w:b/>
        </w:rPr>
        <w:t xml:space="preserve">Islamic</w:t>
      </w:r>
      <w:r>
        <w:t xml:space="preserve"> </w:t>
      </w:r>
      <w:r>
        <w:t xml:space="preserve">financing (HSBC, Mizuho, StanChart); rated A3/A; UAE’s largest Islamic bank.</w:t>
      </w:r>
    </w:p>
    <w:p>
      <w:pPr>
        <w:numPr>
          <w:ilvl w:val="0"/>
          <w:numId w:val="1012"/>
        </w:numPr>
        <w:pStyle w:val="Compact"/>
      </w:pPr>
      <w:r>
        <w:rPr>
          <w:b/>
        </w:rPr>
        <w:t xml:space="preserve">Gulf International Bank (Saudi) — US$250m</w:t>
      </w:r>
      <w:r>
        <w:t xml:space="preserve"> </w:t>
      </w:r>
      <w:r>
        <w:t xml:space="preserve">three-year senior unsecured term loan (First Abu Dhabi Bank, StanChart).</w:t>
      </w:r>
    </w:p>
    <w:p>
      <w:pPr>
        <w:pStyle w:val="FirstParagraph"/>
      </w:pPr>
      <w:r>
        <w:rPr>
          <w:b/>
        </w:rPr>
        <w:t xml:space="preserve">India</w:t>
      </w:r>
    </w:p>
    <w:p>
      <w:pPr>
        <w:numPr>
          <w:ilvl w:val="0"/>
          <w:numId w:val="1013"/>
        </w:numPr>
        <w:pStyle w:val="Compact"/>
      </w:pPr>
      <w:r>
        <w:rPr>
          <w:b/>
        </w:rPr>
        <w:t xml:space="preserve">Manappuram Finance — US$200m (+US$50m greenshoe)</w:t>
      </w:r>
      <w:r>
        <w:t xml:space="preserve"> </w:t>
      </w:r>
      <w:r>
        <w:t xml:space="preserve">three-year loan, four banks behind Axis and DBS, at</w:t>
      </w:r>
      <w:r>
        <w:t xml:space="preserve"> </w:t>
      </w:r>
      <w:r>
        <w:rPr>
          <w:b/>
        </w:rPr>
        <w:t xml:space="preserve">all-in 203bp / 178bp over SOFR</w:t>
      </w:r>
      <w:r>
        <w:t xml:space="preserve"> </w:t>
      </w:r>
      <w:r>
        <w:t xml:space="preserve">—</w:t>
      </w:r>
      <w:r>
        <w:t xml:space="preserve"> </w:t>
      </w:r>
      <w:r>
        <w:rPr>
          <w:i/>
        </w:rPr>
        <w:t xml:space="preserve">tighter</w:t>
      </w:r>
      <w:r>
        <w:t xml:space="preserve"> </w:t>
      </w:r>
      <w:r>
        <w:t xml:space="preserve">than its US$200m deal last September (208bp / 185bp). A small but clear</w:t>
      </w:r>
      <w:r>
        <w:t xml:space="preserve"> </w:t>
      </w:r>
      <w:r>
        <w:t xml:space="preserve">“</w:t>
      </w:r>
      <w:r>
        <w:t xml:space="preserve">spreads compressing for EM NBFCs</w:t>
      </w:r>
      <w:r>
        <w:t xml:space="preserve">”</w:t>
      </w:r>
      <w:r>
        <w:t xml:space="preserve"> </w:t>
      </w:r>
      <w:r>
        <w:t xml:space="preserve">data point.</w:t>
      </w:r>
    </w:p>
    <w:p>
      <w:pPr>
        <w:pStyle w:val="FirstParagraph"/>
      </w:pPr>
      <w:r>
        <w:rPr>
          <w:b/>
        </w:rPr>
        <w:t xml:space="preserve">Indonesia</w:t>
      </w:r>
      <w:r>
        <w:t xml:space="preserve"> </w:t>
      </w:r>
      <w:r>
        <w:t xml:space="preserve">—</w:t>
      </w:r>
      <w:r>
        <w:t xml:space="preserve"> </w:t>
      </w:r>
      <w:r>
        <w:rPr>
          <w:b/>
        </w:rPr>
        <w:t xml:space="preserve">Princeton Digital’s US$456m JC3</w:t>
      </w:r>
      <w:r>
        <w:t xml:space="preserve"> </w:t>
      </w:r>
      <w:r>
        <w:t xml:space="preserve">campus loan (see §3.2).</w:t>
      </w:r>
    </w:p>
    <w:p>
      <w:pPr>
        <w:pStyle w:val="BodyText"/>
      </w:pPr>
      <w:r>
        <w:rPr>
          <w:b/>
        </w:rPr>
        <w:t xml:space="preserve">Japan</w:t>
      </w:r>
      <w:r>
        <w:t xml:space="preserve"> </w:t>
      </w:r>
      <w:r>
        <w:t xml:space="preserve">— two leveraged buyouts and a jumbo corporate.</w:t>
      </w:r>
    </w:p>
    <w:p>
      <w:pPr>
        <w:numPr>
          <w:ilvl w:val="0"/>
          <w:numId w:val="1014"/>
        </w:numPr>
        <w:pStyle w:val="Compact"/>
      </w:pPr>
      <w:r>
        <w:rPr>
          <w:b/>
        </w:rPr>
        <w:t xml:space="preserve">Apollo / Nippon Sheet Glass — ¥360bn (US$2.25bn) LBO</w:t>
      </w:r>
      <w:r>
        <w:t xml:space="preserve"> </w:t>
      </w:r>
      <w:r>
        <w:t xml:space="preserve">(CTBC involved — see §4).</w:t>
      </w:r>
    </w:p>
    <w:p>
      <w:pPr>
        <w:numPr>
          <w:ilvl w:val="0"/>
          <w:numId w:val="1014"/>
        </w:numPr>
        <w:pStyle w:val="Compact"/>
      </w:pPr>
      <w:r>
        <w:rPr>
          <w:b/>
        </w:rPr>
        <w:t xml:space="preserve">Warburg Pincus / JSB — ¥155bn (US$0.97bn) LBO</w:t>
      </w:r>
      <w:r>
        <w:t xml:space="preserve"> </w:t>
      </w:r>
      <w:r>
        <w:t xml:space="preserve">of a Tokyo-listed real-estate firm: a ¥63bn bridge + ¥78bn senior + ¥14bn mezzanine, behind a ¥9,000/share tender (a 28.6% premium). MUFG leads the bridge.</w:t>
      </w:r>
    </w:p>
    <w:p>
      <w:pPr>
        <w:numPr>
          <w:ilvl w:val="0"/>
          <w:numId w:val="1014"/>
        </w:numPr>
        <w:pStyle w:val="Compact"/>
      </w:pPr>
      <w:r>
        <w:rPr>
          <w:b/>
        </w:rPr>
        <w:t xml:space="preserve">Daiichi Sankyo — ¥200bn (US$1.25bn)</w:t>
      </w:r>
      <w:r>
        <w:t xml:space="preserve"> </w:t>
      </w:r>
      <w:r>
        <w:t xml:space="preserve">3y/5y loan from Japanese city and regional banks, with covenants requiring it to keep equity ≥75% of the prior year and avoid two consecutive years of net losses.</w:t>
      </w:r>
    </w:p>
    <w:p>
      <w:pPr>
        <w:numPr>
          <w:ilvl w:val="0"/>
          <w:numId w:val="1014"/>
        </w:numPr>
        <w:pStyle w:val="Compact"/>
      </w:pPr>
      <w:r>
        <w:rPr>
          <w:b/>
        </w:rPr>
        <w:t xml:space="preserve">TSKB (Turkey) — US$350m</w:t>
      </w:r>
      <w:r>
        <w:t xml:space="preserve"> </w:t>
      </w:r>
      <w:r>
        <w:t xml:space="preserve">green credit line (renewables / energy efficiency) — JBIC US$175m + MUFG US$175m, JBIC-guaranteed.</w:t>
      </w:r>
    </w:p>
    <w:p>
      <w:pPr>
        <w:pStyle w:val="FirstParagraph"/>
      </w:pPr>
      <w:r>
        <w:rPr>
          <w:b/>
        </w:rPr>
        <w:t xml:space="preserve">Singapore</w:t>
      </w:r>
    </w:p>
    <w:p>
      <w:pPr>
        <w:numPr>
          <w:ilvl w:val="0"/>
          <w:numId w:val="1015"/>
        </w:numPr>
        <w:pStyle w:val="Compact"/>
      </w:pPr>
      <w:r>
        <w:rPr>
          <w:b/>
        </w:rPr>
        <w:t xml:space="preserve">Gunvor (Singapore) — US$1.366bn sustainability-linked loan</w:t>
      </w:r>
      <w:r>
        <w:t xml:space="preserve">, a 364-day revolver that drew</w:t>
      </w:r>
      <w:r>
        <w:t xml:space="preserve"> </w:t>
      </w:r>
      <w:r>
        <w:rPr>
          <w:b/>
        </w:rPr>
        <w:t xml:space="preserve">32 banks</w:t>
      </w:r>
      <w:r>
        <w:t xml:space="preserve"> </w:t>
      </w:r>
      <w:r>
        <w:t xml:space="preserve">(upsized from a US$800m launch) at just</w:t>
      </w:r>
      <w:r>
        <w:t xml:space="preserve"> </w:t>
      </w:r>
      <w:r>
        <w:rPr>
          <w:b/>
        </w:rPr>
        <w:t xml:space="preserve">70bp over SOFR (140bp all-in)</w:t>
      </w:r>
      <w:r>
        <w:t xml:space="preserve">. Commodity-trader credit, four ESG KPIs, guaranteed by Gunvor Group. The week’s tightest-priced large deal — a benchmark for what blue-chip trader paper costs.</w:t>
      </w:r>
    </w:p>
    <w:p>
      <w:pPr>
        <w:pStyle w:val="FirstParagraph"/>
      </w:pPr>
      <w:r>
        <w:rPr>
          <w:b/>
        </w:rPr>
        <w:t xml:space="preserve">Taiwan</w:t>
      </w:r>
      <w:r>
        <w:t xml:space="preserve"> </w:t>
      </w:r>
      <w:r>
        <w:t xml:space="preserve">— besides ASE/SPIL (§4):</w:t>
      </w:r>
    </w:p>
    <w:p>
      <w:pPr>
        <w:numPr>
          <w:ilvl w:val="0"/>
          <w:numId w:val="1016"/>
        </w:numPr>
        <w:pStyle w:val="Compact"/>
      </w:pPr>
      <w:r>
        <w:rPr>
          <w:b/>
        </w:rPr>
        <w:t xml:space="preserve">Hexa Renewables — NT$11.3bn (US$355m)</w:t>
      </w:r>
      <w:r>
        <w:t xml:space="preserve"> </w:t>
      </w:r>
      <w:r>
        <w:t xml:space="preserve">green project financing from six banks (Mizuho green-coordinator; SinoPac, Bank Rakyat Indonesia, KGI, OCBC, StanChart) for floating-solar in Changhua plus a battery-storage system; backed by PE firm I Squared Capital.</w:t>
      </w:r>
    </w:p>
    <w:p>
      <w:pPr>
        <w:pStyle w:val="FirstParagraph"/>
      </w:pPr>
      <w:r>
        <w:rPr>
          <w:b/>
        </w:rPr>
        <w:t xml:space="preserve">Vietnam</w:t>
      </w:r>
    </w:p>
    <w:p>
      <w:pPr>
        <w:numPr>
          <w:ilvl w:val="0"/>
          <w:numId w:val="1017"/>
        </w:numPr>
        <w:pStyle w:val="Compact"/>
      </w:pPr>
      <w:r>
        <w:rPr>
          <w:b/>
        </w:rPr>
        <w:t xml:space="preserve">Hai An Transport — US$121m</w:t>
      </w:r>
      <w:r>
        <w:t xml:space="preserve"> </w:t>
      </w:r>
      <w:r>
        <w:t xml:space="preserve">10-year senior secured loan,</w:t>
      </w:r>
      <w:r>
        <w:t xml:space="preserve"> </w:t>
      </w:r>
      <w:r>
        <w:rPr>
          <w:b/>
        </w:rPr>
        <w:t xml:space="preserve">Bank SinoPac</w:t>
      </w:r>
      <w:r>
        <w:t xml:space="preserve"> </w:t>
      </w:r>
      <w:r>
        <w:t xml:space="preserve">as MLAB, to buy two 7,100-TEU container ships, backed by standby letters of credit from VietinBank/BIDV. (Taiwanese arranger, but</w:t>
      </w:r>
      <w:r>
        <w:t xml:space="preserve"> </w:t>
      </w:r>
      <w:r>
        <w:rPr>
          <w:b/>
        </w:rPr>
        <w:t xml:space="preserve">SinoPac, not CTBC.</w:t>
      </w:r>
      <w:r>
        <w:t xml:space="preserve">)</w:t>
      </w:r>
    </w:p>
    <w:p>
      <w:r>
        <w:pict>
          <v:rect style="width:0;height:1.5pt" o:hralign="center" o:hrstd="t" o:hr="t"/>
        </w:pict>
      </w:r>
    </w:p>
    <w:p>
      <w:pPr>
        <w:pStyle w:val="Heading2"/>
      </w:pPr>
      <w:bookmarkStart w:id="34" w:name="Xa785791613b8479e8745863761247b16ece5914"/>
      <w:r>
        <w:t xml:space="preserve">6. CTBC’s own positioning (this week, in one place)</w:t>
      </w:r>
      <w:bookmarkEnd w:id="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Deal</w:t>
            </w:r>
          </w:p>
        </w:tc>
        <w:tc>
          <w:tcPr>
            <w:tcBorders>
              <w:bottom w:val="single"/>
            </w:tcBorders>
            <w:vAlign w:val="bottom"/>
          </w:tcPr>
          <w:p>
            <w:pPr>
              <w:pStyle w:val="Compact"/>
              <w:jc w:val="left"/>
            </w:pPr>
            <w:r>
              <w:t xml:space="preserve">CTBC role</w:t>
            </w:r>
          </w:p>
        </w:tc>
        <w:tc>
          <w:tcPr>
            <w:tcBorders>
              <w:bottom w:val="single"/>
            </w:tcBorders>
            <w:vAlign w:val="bottom"/>
          </w:tcPr>
          <w:p>
            <w:pPr>
              <w:pStyle w:val="Compact"/>
              <w:jc w:val="left"/>
            </w:pPr>
            <w:r>
              <w:t xml:space="preserve">Size</w:t>
            </w:r>
          </w:p>
        </w:tc>
        <w:tc>
          <w:tcPr>
            <w:tcBorders>
              <w:bottom w:val="single"/>
            </w:tcBorders>
            <w:vAlign w:val="bottom"/>
          </w:tcPr>
          <w:p>
            <w:pPr>
              <w:pStyle w:val="Compact"/>
              <w:jc w:val="left"/>
            </w:pPr>
            <w:r>
              <w:t xml:space="preserve">Why it matters</w:t>
            </w:r>
          </w:p>
        </w:tc>
      </w:tr>
      <w:tr>
        <w:tc>
          <w:p>
            <w:pPr>
              <w:pStyle w:val="Compact"/>
              <w:jc w:val="left"/>
            </w:pPr>
            <w:r>
              <w:rPr>
                <w:b/>
              </w:rPr>
              <w:t xml:space="preserve">ASE / SPIL</w:t>
            </w:r>
            <w:r>
              <w:t xml:space="preserve"> </w:t>
            </w:r>
            <w:r>
              <w:t xml:space="preserve">(Taiwan)</w:t>
            </w:r>
          </w:p>
        </w:tc>
        <w:tc>
          <w:p>
            <w:pPr>
              <w:pStyle w:val="Compact"/>
              <w:jc w:val="left"/>
            </w:pPr>
            <w:r>
              <w:rPr>
                <w:b/>
              </w:rPr>
              <w:t xml:space="preserve">Lead</w:t>
            </w:r>
            <w:r>
              <w:t xml:space="preserve"> </w:t>
            </w:r>
            <w:r>
              <w:t xml:space="preserve">for SPIL’s half</w:t>
            </w:r>
          </w:p>
        </w:tc>
        <w:tc>
          <w:p>
            <w:pPr>
              <w:pStyle w:val="Compact"/>
              <w:jc w:val="left"/>
            </w:pPr>
            <w:r>
              <w:t xml:space="preserve">NT$80bn / US$2.52bn</w:t>
            </w:r>
          </w:p>
        </w:tc>
        <w:tc>
          <w:p>
            <w:pPr>
              <w:pStyle w:val="Compact"/>
              <w:jc w:val="left"/>
            </w:pPr>
            <w:r>
              <w:t xml:space="preserve">A lead seat on the biggest Taiwan chip jumbo; tightest pricing (~37bp/Taibor)</w:t>
            </w:r>
          </w:p>
        </w:tc>
      </w:tr>
      <w:tr>
        <w:tc>
          <w:p>
            <w:pPr>
              <w:pStyle w:val="Compact"/>
              <w:jc w:val="left"/>
            </w:pPr>
            <w:r>
              <w:rPr>
                <w:b/>
              </w:rPr>
              <w:t xml:space="preserve">Apollo / Nippon Sheet Glass</w:t>
            </w:r>
            <w:r>
              <w:t xml:space="preserve"> </w:t>
            </w:r>
            <w:r>
              <w:t xml:space="preserve">(Japan)</w:t>
            </w:r>
          </w:p>
        </w:tc>
        <w:tc>
          <w:p>
            <w:pPr>
              <w:pStyle w:val="Compact"/>
              <w:jc w:val="left"/>
            </w:pPr>
            <w:r>
              <w:rPr>
                <w:b/>
              </w:rPr>
              <w:t xml:space="preserve">MLAB</w:t>
            </w:r>
            <w:r>
              <w:t xml:space="preserve"> </w:t>
            </w:r>
            <w:r>
              <w:t xml:space="preserve">(</w:t>
            </w:r>
            <w:r>
              <w:t xml:space="preserve">“</w:t>
            </w:r>
            <w:r>
              <w:t xml:space="preserve">CBC Bank</w:t>
            </w:r>
            <w:r>
              <w:t xml:space="preserve">”</w:t>
            </w:r>
            <w:r>
              <w:t xml:space="preserve">)</w:t>
            </w:r>
          </w:p>
        </w:tc>
        <w:tc>
          <w:p>
            <w:pPr>
              <w:pStyle w:val="Compact"/>
              <w:jc w:val="left"/>
            </w:pPr>
            <w:r>
              <w:t xml:space="preserve">¥360bn / US$2.25bn</w:t>
            </w:r>
          </w:p>
        </w:tc>
        <w:tc>
          <w:p>
            <w:pPr>
              <w:pStyle w:val="Compact"/>
              <w:jc w:val="left"/>
            </w:pPr>
            <w:r>
              <w:t xml:space="preserve">Cross-border LBO; Apollo’s largest Japan deal</w:t>
            </w:r>
          </w:p>
        </w:tc>
      </w:tr>
      <w:tr>
        <w:tc>
          <w:p>
            <w:pPr>
              <w:pStyle w:val="Compact"/>
              <w:jc w:val="left"/>
            </w:pPr>
            <w:r>
              <w:rPr>
                <w:b/>
              </w:rPr>
              <w:t xml:space="preserve">Fitness Passport</w:t>
            </w:r>
            <w:r>
              <w:t xml:space="preserve"> </w:t>
            </w:r>
            <w:r>
              <w:t xml:space="preserve">(Australia)</w:t>
            </w:r>
          </w:p>
        </w:tc>
        <w:tc>
          <w:p>
            <w:pPr>
              <w:pStyle w:val="Compact"/>
              <w:jc w:val="left"/>
            </w:pPr>
            <w:r>
              <w:t xml:space="preserve">Relationship MLAB</w:t>
            </w:r>
          </w:p>
        </w:tc>
        <w:tc>
          <w:p>
            <w:pPr>
              <w:pStyle w:val="Compact"/>
              <w:jc w:val="left"/>
            </w:pPr>
            <w:r>
              <w:t xml:space="preserve">A$145m add-on (A$500m base)</w:t>
            </w:r>
          </w:p>
        </w:tc>
        <w:tc>
          <w:p>
            <w:pPr>
              <w:pStyle w:val="Compact"/>
              <w:jc w:val="left"/>
            </w:pPr>
            <w:r>
              <w:t xml:space="preserve">Sticky sponsor relationship into an EQT add-on</w:t>
            </w:r>
          </w:p>
        </w:tc>
      </w:tr>
    </w:tbl>
    <w:p>
      <w:pPr>
        <w:pStyle w:val="BodyText"/>
      </w:pPr>
      <w:r>
        <w:t xml:space="preserve">The throughline: CTBC</w:t>
      </w:r>
      <w:r>
        <w:t xml:space="preserve"> </w:t>
      </w:r>
      <w:r>
        <w:rPr>
          <w:b/>
        </w:rPr>
        <w:t xml:space="preserve">leads where it has an edge</w:t>
      </w:r>
      <w:r>
        <w:t xml:space="preserve"> </w:t>
      </w:r>
      <w:r>
        <w:t xml:space="preserve">(Taiwan corporates, AI-supply-chain names) and</w:t>
      </w:r>
      <w:r>
        <w:t xml:space="preserve"> </w:t>
      </w:r>
      <w:r>
        <w:rPr>
          <w:b/>
        </w:rPr>
        <w:t xml:space="preserve">participates selectively offshore</w:t>
      </w:r>
      <w:r>
        <w:t xml:space="preserve"> </w:t>
      </w:r>
      <w:r>
        <w:t xml:space="preserve">(Japan LBO, Australian sponsor add-on), while staying</w:t>
      </w:r>
      <w:r>
        <w:t xml:space="preserve"> </w:t>
      </w:r>
      <w:r>
        <w:rPr>
          <w:b/>
        </w:rPr>
        <w:t xml:space="preserve">deliberately small</w:t>
      </w:r>
      <w:r>
        <w:t xml:space="preserve"> </w:t>
      </w:r>
      <w:r>
        <w:t xml:space="preserve">on the Malaysian data-centre megadeals that its Article 72-2 real-estate cap makes expensive to hold. Worth contrasting with last week, when CTBC’s involvement clustered in</w:t>
      </w:r>
      <w:r>
        <w:t xml:space="preserve"> </w:t>
      </w:r>
      <w:r>
        <w:rPr>
          <w:b/>
        </w:rPr>
        <w:t xml:space="preserve">Vietnam bank on-lending</w:t>
      </w:r>
      <w:r>
        <w:t xml:space="preserve"> </w:t>
      </w:r>
      <w:r>
        <w:t xml:space="preserve">(VPBank, HDBank) — the seat rotates, but CTBC keeps showing up.</w:t>
      </w:r>
    </w:p>
    <w:p>
      <w:r>
        <w:pict>
          <v:rect style="width:0;height:1.5pt" o:hralign="center" o:hrstd="t" o:hr="t"/>
        </w:pict>
      </w:r>
    </w:p>
    <w:p>
      <w:pPr>
        <w:pStyle w:val="Heading2"/>
      </w:pPr>
      <w:bookmarkStart w:id="35" w:name="Xcb8e85f96a0c75216b2480831e787514f652e42"/>
      <w:r>
        <w:t xml:space="preserve">7. Pricing trends — what’s happening to the cost of money</w:t>
      </w:r>
      <w:bookmarkEnd w:id="35"/>
    </w:p>
    <w:p>
      <w:pPr>
        <w:pStyle w:val="FirstParagraph"/>
      </w:pPr>
      <w:r>
        <w:t xml:space="preserve">The deals span a wide risk ladder. Reading it from cheapest to dearest tells you exactly where the market is pricing risk this week (this is the dashboard’s</w:t>
      </w:r>
      <w:r>
        <w:t xml:space="preserve"> </w:t>
      </w:r>
      <w:r>
        <w:t xml:space="preserve">“</w:t>
      </w:r>
      <w:r>
        <w:t xml:space="preserve">spread ladder</w:t>
      </w:r>
      <w:r>
        <w:t xml:space="preserve">”</w:t>
      </w:r>
      <w:r>
        <w:t xml:space="preserve">):</w:t>
      </w:r>
    </w:p>
    <w:p>
      <w:pPr>
        <w:numPr>
          <w:ilvl w:val="0"/>
          <w:numId w:val="1018"/>
        </w:numPr>
        <w:pStyle w:val="Compact"/>
      </w:pPr>
      <w:r>
        <w:rPr>
          <w:b/>
        </w:rPr>
        <w:t xml:space="preserve">~37bp / Taibor — ASE / SPIL.</w:t>
      </w:r>
      <w:r>
        <w:t xml:space="preserve"> </w:t>
      </w:r>
      <w:r>
        <w:t xml:space="preserve">Mega-cap tech with huge negotiating power; near the floor of what large Taiwan corporates pay. Bankers openly worry whether the market can</w:t>
      </w:r>
      <w:r>
        <w:t xml:space="preserve"> </w:t>
      </w:r>
      <w:r>
        <w:rPr>
          <w:i/>
        </w:rPr>
        <w:t xml:space="preserve">sustain</w:t>
      </w:r>
      <w:r>
        <w:t xml:space="preserve"> </w:t>
      </w:r>
      <w:r>
        <w:t xml:space="preserve">this as more deals launch and liquidity tightens.</w:t>
      </w:r>
    </w:p>
    <w:p>
      <w:pPr>
        <w:numPr>
          <w:ilvl w:val="0"/>
          <w:numId w:val="1018"/>
        </w:numPr>
        <w:pStyle w:val="Compact"/>
      </w:pPr>
      <w:r>
        <w:rPr>
          <w:b/>
        </w:rPr>
        <w:t xml:space="preserve">70bp / SOFR — Gunvor SLL.</w:t>
      </w:r>
      <w:r>
        <w:t xml:space="preserve"> </w:t>
      </w:r>
      <w:r>
        <w:t xml:space="preserve">A blue-chip commodity trader; 140bp all-in once fees are added.</w:t>
      </w:r>
    </w:p>
    <w:p>
      <w:pPr>
        <w:numPr>
          <w:ilvl w:val="0"/>
          <w:numId w:val="1018"/>
        </w:numPr>
        <w:pStyle w:val="Compact"/>
      </w:pPr>
      <w:r>
        <w:rPr>
          <w:b/>
        </w:rPr>
        <w:t xml:space="preserve">98–158bp / BBSY — Endeavour Energy, Perth Airport.</w:t>
      </w:r>
      <w:r>
        <w:t xml:space="preserve"> </w:t>
      </w:r>
      <w:r>
        <w:t xml:space="preserve">Investment-grade Australian infrastructure; margins widen with tenor.</w:t>
      </w:r>
    </w:p>
    <w:p>
      <w:pPr>
        <w:numPr>
          <w:ilvl w:val="0"/>
          <w:numId w:val="1018"/>
        </w:numPr>
        <w:pStyle w:val="Compact"/>
      </w:pPr>
      <w:r>
        <w:rPr>
          <w:b/>
        </w:rPr>
        <w:t xml:space="preserve">178–203bp / SOFR — Manappuram.</w:t>
      </w:r>
      <w:r>
        <w:t xml:space="preserve"> </w:t>
      </w:r>
      <w:r>
        <w:t xml:space="preserve">An EM non-bank finance company — and notably</w:t>
      </w:r>
      <w:r>
        <w:t xml:space="preserve"> </w:t>
      </w:r>
      <w:r>
        <w:rPr>
          <w:b/>
        </w:rPr>
        <w:t xml:space="preserve">tighter</w:t>
      </w:r>
      <w:r>
        <w:t xml:space="preserve"> </w:t>
      </w:r>
      <w:r>
        <w:t xml:space="preserve">than six months ago (compression for decent EM credits).</w:t>
      </w:r>
    </w:p>
    <w:p>
      <w:pPr>
        <w:numPr>
          <w:ilvl w:val="0"/>
          <w:numId w:val="1018"/>
        </w:numPr>
        <w:pStyle w:val="Compact"/>
      </w:pPr>
      <w:r>
        <w:rPr>
          <w:b/>
        </w:rPr>
        <w:t xml:space="preserve">~225–240bp / SOFR &amp; Klibor — Malaysian data-centre PF (AirTrunk, DayOne).</w:t>
      </w:r>
      <w:r>
        <w:t xml:space="preserve"> </w:t>
      </w:r>
      <w:r>
        <w:t xml:space="preserve">Where the jumbo project risk sits — and the spreads bankers say</w:t>
      </w:r>
      <w:r>
        <w:t xml:space="preserve"> </w:t>
      </w:r>
      <w:r>
        <w:rPr>
          <w:i/>
        </w:rPr>
        <w:t xml:space="preserve">should</w:t>
      </w:r>
      <w:r>
        <w:t xml:space="preserve"> </w:t>
      </w:r>
      <w:r>
        <w:t xml:space="preserve">be higher given the limits.</w:t>
      </w:r>
    </w:p>
    <w:p>
      <w:pPr>
        <w:numPr>
          <w:ilvl w:val="0"/>
          <w:numId w:val="1018"/>
        </w:numPr>
        <w:pStyle w:val="Compact"/>
      </w:pPr>
      <w:r>
        <w:rPr>
          <w:b/>
        </w:rPr>
        <w:t xml:space="preserve">275–300bp / Tonar — Apollo / Nippon Sheet Glass.</w:t>
      </w:r>
      <w:r>
        <w:t xml:space="preserve"> </w:t>
      </w:r>
      <w:r>
        <w:t xml:space="preserve">Sponsor LBO leverage.</w:t>
      </w:r>
    </w:p>
    <w:p>
      <w:pPr>
        <w:numPr>
          <w:ilvl w:val="0"/>
          <w:numId w:val="1018"/>
        </w:numPr>
        <w:pStyle w:val="Compact"/>
      </w:pPr>
      <w:r>
        <w:rPr>
          <w:b/>
        </w:rPr>
        <w:t xml:space="preserve">350bp / BBSY — Fitness Passport.</w:t>
      </w:r>
      <w:r>
        <w:t xml:space="preserve"> </w:t>
      </w:r>
      <w:r>
        <w:t xml:space="preserve">Sub-investment-grade LBO at ~5.3× leverage; the dearest money in the reading.</w:t>
      </w:r>
    </w:p>
    <w:p>
      <w:pPr>
        <w:pStyle w:val="FirstParagraph"/>
      </w:pPr>
      <w:r>
        <w:t xml:space="preserve">Two themes to carry into the discussion: (1)</w:t>
      </w:r>
      <w:r>
        <w:t xml:space="preserve"> </w:t>
      </w:r>
      <w:r>
        <w:rPr>
          <w:b/>
        </w:rPr>
        <w:t xml:space="preserve">strong corporates are still compressing spreads</w:t>
      </w:r>
      <w:r>
        <w:t xml:space="preserve"> </w:t>
      </w:r>
      <w:r>
        <w:t xml:space="preserve">(ASE, Manappuram, Gunvor), while (2)</w:t>
      </w:r>
      <w:r>
        <w:t xml:space="preserve"> </w:t>
      </w:r>
      <w:r>
        <w:rPr>
          <w:b/>
        </w:rPr>
        <w:t xml:space="preserve">the genuinely capacity-constrained sector — Asian data centres — has</w:t>
      </w:r>
      <w:r>
        <w:rPr>
          <w:b/>
        </w:rPr>
        <w:t xml:space="preserve"> </w:t>
      </w:r>
      <w:r>
        <w:rPr>
          <w:i/>
          <w:b/>
        </w:rPr>
        <w:t xml:space="preserve">not</w:t>
      </w:r>
      <w:r>
        <w:rPr>
          <w:b/>
        </w:rPr>
        <w:t xml:space="preserve"> </w:t>
      </w:r>
      <w:r>
        <w:rPr>
          <w:b/>
        </w:rPr>
        <w:t xml:space="preserve">repriced</w:t>
      </w:r>
      <w:r>
        <w:t xml:space="preserve">, even as US/Europe has. That divergence is the pricing story of the week.</w:t>
      </w:r>
    </w:p>
    <w:p>
      <w:r>
        <w:pict>
          <v:rect style="width:0;height:1.5pt" o:hralign="center" o:hrstd="t" o:hr="t"/>
        </w:pict>
      </w:r>
    </w:p>
    <w:p>
      <w:pPr>
        <w:pStyle w:val="Heading2"/>
      </w:pPr>
      <w:bookmarkStart w:id="36" w:name="risks-to-watch-taiwan-ctbc-framing"/>
      <w:r>
        <w:t xml:space="preserve">8. Risks to watch (Taiwan / CTBC framing)</w:t>
      </w:r>
      <w:bookmarkEnd w:id="36"/>
    </w:p>
    <w:p>
      <w:pPr>
        <w:numPr>
          <w:ilvl w:val="0"/>
          <w:numId w:val="1019"/>
        </w:numPr>
        <w:pStyle w:val="Compact"/>
      </w:pPr>
      <w:r>
        <w:rPr>
          <w:b/>
        </w:rPr>
        <w:t xml:space="preserve">Lender concentration limits (HIGH).</w:t>
      </w:r>
      <w:r>
        <w:t xml:space="preserve"> </w:t>
      </w:r>
      <w:r>
        <w:t xml:space="preserve">US$3–4bn single-site asks plus a recurring set of ~7 hyperscaler offtakers means banks hit single-name, sector</w:t>
      </w:r>
      <w:r>
        <w:t xml:space="preserve"> </w:t>
      </w:r>
      <w:r>
        <w:rPr>
          <w:i/>
        </w:rPr>
        <w:t xml:space="preserve">and</w:t>
      </w:r>
      <w:r>
        <w:t xml:space="preserve"> </w:t>
      </w:r>
      <w:r>
        <w:t xml:space="preserve">country caps simultaneously. For CTBC specifically, Article 72-2 makes large DC tickets costly — so the constraint is real, not theoretical.</w:t>
      </w:r>
    </w:p>
    <w:p>
      <w:pPr>
        <w:numPr>
          <w:ilvl w:val="0"/>
          <w:numId w:val="1019"/>
        </w:numPr>
        <w:pStyle w:val="Compact"/>
      </w:pPr>
      <w:r>
        <w:rPr>
          <w:b/>
        </w:rPr>
        <w:t xml:space="preserve">Offtake renewal risk (HIGH).</w:t>
      </w:r>
      <w:r>
        <w:t xml:space="preserve"> </w:t>
      </w:r>
      <w:r>
        <w:t xml:space="preserve">The credit case leans on 7–10-year leases renewing, but renewal is the tenant’s option and no renewal cycle has been observed. If AI demand or technology shifts, a hyperscaler can walk.</w:t>
      </w:r>
    </w:p>
    <w:p>
      <w:pPr>
        <w:numPr>
          <w:ilvl w:val="0"/>
          <w:numId w:val="1019"/>
        </w:numPr>
        <w:pStyle w:val="Compact"/>
      </w:pPr>
      <w:r>
        <w:rPr>
          <w:b/>
        </w:rPr>
        <w:t xml:space="preserve">Leverage creep / thin equity (HIGH).</w:t>
      </w:r>
      <w:r>
        <w:t xml:space="preserve"> </w:t>
      </w:r>
      <w:r>
        <w:t xml:space="preserve">LTC above 90%, cov-lite structures, and removed guarantees/change-of-control leave lenders with a thin cushion if a project underperforms.</w:t>
      </w:r>
    </w:p>
    <w:p>
      <w:pPr>
        <w:numPr>
          <w:ilvl w:val="0"/>
          <w:numId w:val="1019"/>
        </w:numPr>
        <w:pStyle w:val="Compact"/>
      </w:pPr>
      <w:r>
        <w:rPr>
          <w:b/>
        </w:rPr>
        <w:t xml:space="preserve">“</w:t>
      </w:r>
      <w:r>
        <w:rPr>
          <w:b/>
        </w:rPr>
        <w:t xml:space="preserve">Asia hasn’t repriced</w:t>
      </w:r>
      <w:r>
        <w:rPr>
          <w:b/>
        </w:rPr>
        <w:t xml:space="preserve">”</w:t>
      </w:r>
      <w:r>
        <w:rPr>
          <w:b/>
        </w:rPr>
        <w:t xml:space="preserve"> </w:t>
      </w:r>
      <w:r>
        <w:rPr>
          <w:b/>
        </w:rPr>
        <w:t xml:space="preserve">(MED).</w:t>
      </w:r>
      <w:r>
        <w:t xml:space="preserve"> </w:t>
      </w:r>
      <w:r>
        <w:t xml:space="preserve">Asian DC spreads lag the US/Europe even though balance-sheet limits are global — risk is rising faster than the margin that pays for it.</w:t>
      </w:r>
    </w:p>
    <w:p>
      <w:pPr>
        <w:numPr>
          <w:ilvl w:val="0"/>
          <w:numId w:val="1019"/>
        </w:numPr>
        <w:pStyle w:val="Compact"/>
      </w:pPr>
      <w:r>
        <w:rPr>
          <w:b/>
        </w:rPr>
        <w:t xml:space="preserve">Taiwanese-bank capacity (MED).</w:t>
      </w:r>
      <w:r>
        <w:t xml:space="preserve"> </w:t>
      </w:r>
      <w:r>
        <w:t xml:space="preserve">Because peers treat DC loans as real estate (Article 72-2), the natural domestic buyer base is thin — good discipline, but it also means CTBC can’t easily ride the theme even if it wanted to.</w:t>
      </w:r>
    </w:p>
    <w:p>
      <w:pPr>
        <w:numPr>
          <w:ilvl w:val="0"/>
          <w:numId w:val="1019"/>
        </w:numPr>
        <w:pStyle w:val="Compact"/>
      </w:pPr>
      <w:r>
        <w:rPr>
          <w:b/>
        </w:rPr>
        <w:t xml:space="preserve">China-linked sponsor/offtaker risk (MED).</w:t>
      </w:r>
      <w:r>
        <w:t xml:space="preserve"> </w:t>
      </w:r>
      <w:r>
        <w:t xml:space="preserve">ByteDance/PRC-linked projects draw only relationship PRC and HK banks (six PRC banks took US$450m of DayOne’s US$790m sell-down last year) — a reminder that geopolitics shapes the lender list.</w:t>
      </w:r>
    </w:p>
    <w:p>
      <w:r>
        <w:pict>
          <v:rect style="width:0;height:1.5pt" o:hralign="center" o:hrstd="t" o:hr="t"/>
        </w:pict>
      </w:r>
    </w:p>
    <w:p>
      <w:pPr>
        <w:pStyle w:val="Heading2"/>
      </w:pPr>
      <w:bookmarkStart w:id="37" w:name="X8ce89531bf01bfd318836831039854a8159f812"/>
      <w:r>
        <w:t xml:space="preserve">9. Thoughts &amp; ideas for the supervisor discussion</w:t>
      </w:r>
      <w:bookmarkEnd w:id="37"/>
    </w:p>
    <w:p>
      <w:pPr>
        <w:pStyle w:val="FirstParagraph"/>
      </w:pPr>
      <w:r>
        <w:t xml:space="preserve">A few angles to raise — phrased as questions so they invite discussion rather than sounding like conclusions:</w:t>
      </w:r>
    </w:p>
    <w:p>
      <w:pPr>
        <w:numPr>
          <w:ilvl w:val="0"/>
          <w:numId w:val="1020"/>
        </w:numPr>
        <w:pStyle w:val="Compact"/>
      </w:pPr>
      <w:r>
        <w:rPr>
          <w:b/>
        </w:rPr>
        <w:t xml:space="preserve">“</w:t>
      </w:r>
      <w:r>
        <w:rPr>
          <w:b/>
        </w:rPr>
        <w:t xml:space="preserve">Should CTBC rethink how it classifies data-centre loans?</w:t>
      </w:r>
      <w:r>
        <w:rPr>
          <w:b/>
        </w:rPr>
        <w:t xml:space="preserve">”</w:t>
      </w:r>
      <w:r>
        <w:t xml:space="preserve"> </w:t>
      </w:r>
      <w:r>
        <w:t xml:space="preserve">If peers count them as real estate under Article 72-2 and therefore stay small, is there a</w:t>
      </w:r>
      <w:r>
        <w:t xml:space="preserve"> </w:t>
      </w:r>
      <w:r>
        <w:rPr>
          <w:i/>
        </w:rPr>
        <w:t xml:space="preserve">structuring</w:t>
      </w:r>
      <w:r>
        <w:t xml:space="preserve"> </w:t>
      </w:r>
      <w:r>
        <w:t xml:space="preserve">angle (true project finance, offtaker guarantees, shorter tickets) that lets CTBC participate in the theme without burning the 30% cap?</w:t>
      </w:r>
    </w:p>
    <w:p>
      <w:pPr>
        <w:numPr>
          <w:ilvl w:val="0"/>
          <w:numId w:val="1020"/>
        </w:numPr>
        <w:pStyle w:val="Compact"/>
      </w:pPr>
      <w:r>
        <w:rPr>
          <w:b/>
        </w:rPr>
        <w:t xml:space="preserve">“</w:t>
      </w:r>
      <w:r>
        <w:rPr>
          <w:b/>
        </w:rPr>
        <w:t xml:space="preserve">Where is CTBC’s edge — lead Taiwan semis, or follow offshore?</w:t>
      </w:r>
      <w:r>
        <w:rPr>
          <w:b/>
        </w:rPr>
        <w:t xml:space="preserve">”</w:t>
      </w:r>
      <w:r>
        <w:t xml:space="preserve"> </w:t>
      </w:r>
      <w:r>
        <w:t xml:space="preserve">This week CTBC led SPIL and sat as MLAB on a Japan LBO. Which of those is the more repeatable, fee-rich franchise to invest in?</w:t>
      </w:r>
    </w:p>
    <w:p>
      <w:pPr>
        <w:numPr>
          <w:ilvl w:val="0"/>
          <w:numId w:val="1020"/>
        </w:numPr>
        <w:pStyle w:val="Compact"/>
      </w:pPr>
      <w:r>
        <w:rPr>
          <w:b/>
        </w:rPr>
        <w:t xml:space="preserve">“</w:t>
      </w:r>
      <w:r>
        <w:rPr>
          <w:b/>
        </w:rPr>
        <w:t xml:space="preserve">Is the Asia-hasn’t-repriced gap an opportunity or a warning?</w:t>
      </w:r>
      <w:r>
        <w:rPr>
          <w:b/>
        </w:rPr>
        <w:t xml:space="preserve">”</w:t>
      </w:r>
      <w:r>
        <w:t xml:space="preserve"> </w:t>
      </w:r>
      <w:r>
        <w:t xml:space="preserve">If Asian DC spreads must eventually rise toward US/Europe levels, is there a case to wait — or to lend now and reprice later?</w:t>
      </w:r>
    </w:p>
    <w:p>
      <w:pPr>
        <w:numPr>
          <w:ilvl w:val="0"/>
          <w:numId w:val="1020"/>
        </w:numPr>
        <w:pStyle w:val="Compact"/>
      </w:pPr>
      <w:r>
        <w:rPr>
          <w:b/>
        </w:rPr>
        <w:t xml:space="preserve">“</w:t>
      </w:r>
      <w:r>
        <w:rPr>
          <w:b/>
        </w:rPr>
        <w:t xml:space="preserve">How concentrated is our hyperscaler exposure across</w:t>
      </w:r>
      <w:r>
        <w:rPr>
          <w:b/>
        </w:rPr>
        <w:t xml:space="preserve"> </w:t>
      </w:r>
      <w:r>
        <w:rPr>
          <w:i/>
          <w:b/>
        </w:rPr>
        <w:t xml:space="preserve">all</w:t>
      </w:r>
      <w:r>
        <w:rPr>
          <w:b/>
        </w:rPr>
        <w:t xml:space="preserve"> </w:t>
      </w:r>
      <w:r>
        <w:rPr>
          <w:b/>
        </w:rPr>
        <w:t xml:space="preserve">products?</w:t>
      </w:r>
      <w:r>
        <w:rPr>
          <w:b/>
        </w:rPr>
        <w:t xml:space="preserve">”</w:t>
      </w:r>
      <w:r>
        <w:t xml:space="preserve"> </w:t>
      </w:r>
      <w:r>
        <w:t xml:space="preserve">The report’s sharpest insight is that the same seven offtakers recur everywhere. Does CTBC look at offtaker exposure across loans</w:t>
      </w:r>
      <w:r>
        <w:t xml:space="preserve"> </w:t>
      </w:r>
      <w:r>
        <w:rPr>
          <w:i/>
        </w:rPr>
        <w:t xml:space="preserve">and</w:t>
      </w:r>
      <w:r>
        <w:t xml:space="preserve"> </w:t>
      </w:r>
      <w:r>
        <w:t xml:space="preserve">corporate facilities the way the report says leading banks now do?</w:t>
      </w:r>
    </w:p>
    <w:p>
      <w:pPr>
        <w:numPr>
          <w:ilvl w:val="0"/>
          <w:numId w:val="1020"/>
        </w:numPr>
        <w:pStyle w:val="Compact"/>
      </w:pPr>
      <w:r>
        <w:rPr>
          <w:b/>
        </w:rPr>
        <w:t xml:space="preserve">One sharp line for your supervisor:</w:t>
      </w:r>
      <w:r>
        <w:t xml:space="preserve"> </w:t>
      </w:r>
      <w:r>
        <w:rPr>
          <w:i/>
        </w:rPr>
        <w:t xml:space="preserve">“</w:t>
      </w:r>
      <w:r>
        <w:rPr>
          <w:i/>
        </w:rPr>
        <w:t xml:space="preserve">The Malaysian data-centre story isn’t a demand story — it’s a bank-capacity story. The limiting factor on the next campus is how much exposure the syndicate can hold, and Asian spreads still don’t pay for that risk. CTBC’s small-ticket discipline looks right, but the ASE-SPIL and Apollo-NSG leads show where we can still win.</w:t>
      </w:r>
      <w:r>
        <w:rPr>
          <w:i/>
        </w:rPr>
        <w:t xml:space="preserve">”</w:t>
      </w:r>
    </w:p>
    <w:p>
      <w:r>
        <w:pict>
          <v:rect style="width:0;height:1.5pt" o:hralign="center" o:hrstd="t" o:hr="t"/>
        </w:pict>
      </w:r>
    </w:p>
    <w:p>
      <w:pPr>
        <w:pStyle w:val="Heading2"/>
      </w:pPr>
      <w:bookmarkStart w:id="38" w:name="glossary-quick-reference"/>
      <w:r>
        <w:t xml:space="preserve">10. Glossary quick-reference</w:t>
      </w:r>
      <w:bookmarkEnd w:id="38"/>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Term</w:t>
            </w:r>
          </w:p>
        </w:tc>
        <w:tc>
          <w:tcPr>
            <w:tcBorders>
              <w:bottom w:val="single"/>
            </w:tcBorders>
            <w:vAlign w:val="bottom"/>
          </w:tcPr>
          <w:p>
            <w:pPr>
              <w:pStyle w:val="Compact"/>
              <w:jc w:val="left"/>
            </w:pPr>
            <w:r>
              <w:t xml:space="preserve">Plain meaning</w:t>
            </w:r>
          </w:p>
        </w:tc>
      </w:tr>
      <w:tr>
        <w:tc>
          <w:p>
            <w:pPr>
              <w:pStyle w:val="Compact"/>
              <w:jc w:val="left"/>
            </w:pPr>
            <w:r>
              <w:rPr>
                <w:b/>
              </w:rPr>
              <w:t xml:space="preserve">Syndicated loan</w:t>
            </w:r>
          </w:p>
        </w:tc>
        <w:tc>
          <w:p>
            <w:pPr>
              <w:pStyle w:val="Compact"/>
              <w:jc w:val="left"/>
            </w:pPr>
            <w:r>
              <w:t xml:space="preserve">One big loan funded by a group of banks sharing the risk</w:t>
            </w:r>
          </w:p>
        </w:tc>
      </w:tr>
      <w:tr>
        <w:tc>
          <w:p>
            <w:pPr>
              <w:pStyle w:val="Compact"/>
              <w:jc w:val="left"/>
            </w:pPr>
            <w:r>
              <w:rPr>
                <w:b/>
              </w:rPr>
              <w:t xml:space="preserve">MLAB</w:t>
            </w:r>
          </w:p>
        </w:tc>
        <w:tc>
          <w:p>
            <w:pPr>
              <w:pStyle w:val="Compact"/>
              <w:jc w:val="left"/>
            </w:pPr>
            <w:r>
              <w:t xml:space="preserve">Mandated Lead Arranger &amp; Bookrunner — top role; structures the deal and runs the book</w:t>
            </w:r>
          </w:p>
        </w:tc>
      </w:tr>
      <w:tr>
        <w:tc>
          <w:p>
            <w:pPr>
              <w:pStyle w:val="Compact"/>
              <w:jc w:val="left"/>
            </w:pPr>
            <w:r>
              <w:rPr>
                <w:b/>
              </w:rPr>
              <w:t xml:space="preserve">MLA / Arranger</w:t>
            </w:r>
          </w:p>
        </w:tc>
        <w:tc>
          <w:p>
            <w:pPr>
              <w:pStyle w:val="Compact"/>
              <w:jc w:val="left"/>
            </w:pPr>
            <w:r>
              <w:t xml:space="preserve">Lower participation tiers; fee scales with ticket size</w:t>
            </w:r>
          </w:p>
        </w:tc>
      </w:tr>
      <w:tr>
        <w:tc>
          <w:p>
            <w:pPr>
              <w:pStyle w:val="Compact"/>
              <w:jc w:val="left"/>
            </w:pPr>
            <w:r>
              <w:rPr>
                <w:b/>
              </w:rPr>
              <w:t xml:space="preserve">General syndication</w:t>
            </w:r>
          </w:p>
        </w:tc>
        <w:tc>
          <w:p>
            <w:pPr>
              <w:pStyle w:val="Compact"/>
              <w:jc w:val="left"/>
            </w:pPr>
            <w:r>
              <w:t xml:space="preserve">Inviting the broad market to join after the leads commit</w:t>
            </w:r>
          </w:p>
        </w:tc>
      </w:tr>
      <w:tr>
        <w:tc>
          <w:p>
            <w:pPr>
              <w:pStyle w:val="Compact"/>
              <w:jc w:val="left"/>
            </w:pPr>
            <w:r>
              <w:rPr>
                <w:b/>
              </w:rPr>
              <w:t xml:space="preserve">Tranche</w:t>
            </w:r>
          </w:p>
        </w:tc>
        <w:tc>
          <w:p>
            <w:pPr>
              <w:pStyle w:val="Compact"/>
              <w:jc w:val="left"/>
            </w:pPr>
            <w:r>
              <w:t xml:space="preserve">A slice of a loan with its own terms/tenor/currency</w:t>
            </w:r>
          </w:p>
        </w:tc>
      </w:tr>
      <w:tr>
        <w:tc>
          <w:p>
            <w:pPr>
              <w:pStyle w:val="Compact"/>
              <w:jc w:val="left"/>
            </w:pPr>
            <w:r>
              <w:rPr>
                <w:b/>
              </w:rPr>
              <w:t xml:space="preserve">Term loan vs RCF</w:t>
            </w:r>
          </w:p>
        </w:tc>
        <w:tc>
          <w:p>
            <w:pPr>
              <w:pStyle w:val="Compact"/>
              <w:jc w:val="left"/>
            </w:pPr>
            <w:r>
              <w:t xml:space="preserve">Borrowed once and repaid vs draw-repay-redraw (revolver)</w:t>
            </w:r>
          </w:p>
        </w:tc>
      </w:tr>
      <w:tr>
        <w:tc>
          <w:p>
            <w:pPr>
              <w:pStyle w:val="Compact"/>
              <w:jc w:val="left"/>
            </w:pPr>
            <w:r>
              <w:rPr>
                <w:b/>
              </w:rPr>
              <w:t xml:space="preserve">A&amp;E (Amend &amp; Extend)</w:t>
            </w:r>
          </w:p>
        </w:tc>
        <w:tc>
          <w:p>
            <w:pPr>
              <w:pStyle w:val="Compact"/>
              <w:jc w:val="left"/>
            </w:pPr>
            <w:r>
              <w:t xml:space="preserve">Push out maturities on an existing facility</w:t>
            </w:r>
          </w:p>
        </w:tc>
      </w:tr>
      <w:tr>
        <w:tc>
          <w:p>
            <w:pPr>
              <w:pStyle w:val="Compact"/>
              <w:jc w:val="left"/>
            </w:pPr>
            <w:r>
              <w:rPr>
                <w:b/>
              </w:rPr>
              <w:t xml:space="preserve">Accordion / greenshoe</w:t>
            </w:r>
          </w:p>
        </w:tc>
        <w:tc>
          <w:p>
            <w:pPr>
              <w:pStyle w:val="Compact"/>
              <w:jc w:val="left"/>
            </w:pPr>
            <w:r>
              <w:t xml:space="preserve">Option to upsize the loan if demand is strong</w:t>
            </w:r>
          </w:p>
        </w:tc>
      </w:tr>
      <w:tr>
        <w:tc>
          <w:p>
            <w:pPr>
              <w:pStyle w:val="Compact"/>
              <w:jc w:val="left"/>
            </w:pPr>
            <w:r>
              <w:rPr>
                <w:b/>
              </w:rPr>
              <w:t xml:space="preserve">Project finance (PF)</w:t>
            </w:r>
          </w:p>
        </w:tc>
        <w:tc>
          <w:p>
            <w:pPr>
              <w:pStyle w:val="Compact"/>
              <w:jc w:val="left"/>
            </w:pPr>
            <w:r>
              <w:t xml:space="preserve">Lending against one asset’s cash flows, not the whole company</w:t>
            </w:r>
          </w:p>
        </w:tc>
      </w:tr>
      <w:tr>
        <w:tc>
          <w:p>
            <w:pPr>
              <w:pStyle w:val="Compact"/>
              <w:jc w:val="left"/>
            </w:pPr>
            <w:r>
              <w:rPr>
                <w:b/>
              </w:rPr>
              <w:t xml:space="preserve">Hyperscaler</w:t>
            </w:r>
          </w:p>
        </w:tc>
        <w:tc>
          <w:p>
            <w:pPr>
              <w:pStyle w:val="Compact"/>
              <w:jc w:val="left"/>
            </w:pPr>
            <w:r>
              <w:t xml:space="preserve">Giant cloud/AI tenant of a data centre (the offtaker)</w:t>
            </w:r>
          </w:p>
        </w:tc>
      </w:tr>
      <w:tr>
        <w:tc>
          <w:p>
            <w:pPr>
              <w:pStyle w:val="Compact"/>
              <w:jc w:val="left"/>
            </w:pPr>
            <w:r>
              <w:rPr>
                <w:b/>
              </w:rPr>
              <w:t xml:space="preserve">Offtaker / offtake</w:t>
            </w:r>
          </w:p>
        </w:tc>
        <w:tc>
          <w:p>
            <w:pPr>
              <w:pStyle w:val="Compact"/>
              <w:jc w:val="left"/>
            </w:pPr>
            <w:r>
              <w:t xml:space="preserve">The customer contracting to take the capacity (the lease = the revenue)</w:t>
            </w:r>
          </w:p>
        </w:tc>
      </w:tr>
      <w:tr>
        <w:tc>
          <w:p>
            <w:pPr>
              <w:pStyle w:val="Compact"/>
              <w:jc w:val="left"/>
            </w:pPr>
            <w:r>
              <w:rPr>
                <w:b/>
              </w:rPr>
              <w:t xml:space="preserve">Loan-to-cost (LTC)</w:t>
            </w:r>
          </w:p>
        </w:tc>
        <w:tc>
          <w:p>
            <w:pPr>
              <w:pStyle w:val="Compact"/>
              <w:jc w:val="left"/>
            </w:pPr>
            <w:r>
              <w:t xml:space="preserve">Debt as a % of build cost; higher = thinner equity cushion</w:t>
            </w:r>
          </w:p>
        </w:tc>
      </w:tr>
      <w:tr>
        <w:tc>
          <w:p>
            <w:pPr>
              <w:pStyle w:val="Compact"/>
              <w:jc w:val="left"/>
            </w:pPr>
            <w:r>
              <w:rPr>
                <w:b/>
              </w:rPr>
              <w:t xml:space="preserve">Cov-lite</w:t>
            </w:r>
          </w:p>
        </w:tc>
        <w:tc>
          <w:p>
            <w:pPr>
              <w:pStyle w:val="Compact"/>
              <w:jc w:val="left"/>
            </w:pPr>
            <w:r>
              <w:t xml:space="preserve">Few maintenance covenants — more lender risk</w:t>
            </w:r>
          </w:p>
        </w:tc>
      </w:tr>
      <w:tr>
        <w:tc>
          <w:p>
            <w:pPr>
              <w:pStyle w:val="Compact"/>
              <w:jc w:val="left"/>
            </w:pPr>
            <w:r>
              <w:rPr>
                <w:b/>
              </w:rPr>
              <w:t xml:space="preserve">Change-of-control / parent guarantee</w:t>
            </w:r>
          </w:p>
        </w:tc>
        <w:tc>
          <w:p>
            <w:pPr>
              <w:pStyle w:val="Compact"/>
              <w:jc w:val="left"/>
            </w:pPr>
            <w:r>
              <w:t xml:space="preserve">Lender protections (repay on ownership change; parent backs the debt)</w:t>
            </w:r>
          </w:p>
        </w:tc>
      </w:tr>
      <w:tr>
        <w:tc>
          <w:p>
            <w:pPr>
              <w:pStyle w:val="Compact"/>
              <w:jc w:val="left"/>
            </w:pPr>
            <w:r>
              <w:rPr>
                <w:b/>
              </w:rPr>
              <w:t xml:space="preserve">Capital recycling / securitisation</w:t>
            </w:r>
          </w:p>
        </w:tc>
        <w:tc>
          <w:p>
            <w:pPr>
              <w:pStyle w:val="Compact"/>
              <w:jc w:val="left"/>
            </w:pPr>
            <w:r>
              <w:t xml:space="preserve">Selling/bundling finished assets to free balance-sheet room</w:t>
            </w:r>
          </w:p>
        </w:tc>
      </w:tr>
      <w:tr>
        <w:tc>
          <w:p>
            <w:pPr>
              <w:pStyle w:val="Compact"/>
              <w:jc w:val="left"/>
            </w:pPr>
            <w:r>
              <w:rPr>
                <w:b/>
              </w:rPr>
              <w:t xml:space="preserve">SLL</w:t>
            </w:r>
          </w:p>
        </w:tc>
        <w:tc>
          <w:p>
            <w:pPr>
              <w:pStyle w:val="Compact"/>
              <w:jc w:val="left"/>
            </w:pPr>
            <w:r>
              <w:t xml:space="preserve">Sustainability-Linked Loan — pricing tied to ESG targets</w:t>
            </w:r>
          </w:p>
        </w:tc>
      </w:tr>
      <w:tr>
        <w:tc>
          <w:p>
            <w:pPr>
              <w:pStyle w:val="Compact"/>
              <w:jc w:val="left"/>
            </w:pPr>
            <w:r>
              <w:rPr>
                <w:b/>
              </w:rPr>
              <w:t xml:space="preserve">Islamic financing / murabaha</w:t>
            </w:r>
          </w:p>
        </w:tc>
        <w:tc>
          <w:p>
            <w:pPr>
              <w:pStyle w:val="Compact"/>
              <w:jc w:val="left"/>
            </w:pPr>
            <w:r>
              <w:t xml:space="preserve">Shariah-compliant funding earning a profit margin, not</w:t>
            </w:r>
            <w:r>
              <w:t xml:space="preserve"> </w:t>
            </w:r>
            <w:r>
              <w:t xml:space="preserve">“</w:t>
            </w:r>
            <w:r>
              <w:t xml:space="preserve">interest</w:t>
            </w:r>
            <w:r>
              <w:t xml:space="preserve">”</w:t>
            </w:r>
          </w:p>
        </w:tc>
      </w:tr>
      <w:tr>
        <w:tc>
          <w:p>
            <w:pPr>
              <w:pStyle w:val="Compact"/>
              <w:jc w:val="left"/>
            </w:pPr>
            <w:r>
              <w:rPr>
                <w:b/>
              </w:rPr>
              <w:t xml:space="preserve">Margin / all-in</w:t>
            </w:r>
          </w:p>
        </w:tc>
        <w:tc>
          <w:p>
            <w:pPr>
              <w:pStyle w:val="Compact"/>
              <w:jc w:val="left"/>
            </w:pPr>
            <w:r>
              <w:t xml:space="preserve">Spread over a benchmark / spread plus annualised fees</w:t>
            </w:r>
          </w:p>
        </w:tc>
      </w:tr>
      <w:tr>
        <w:tc>
          <w:p>
            <w:pPr>
              <w:pStyle w:val="Compact"/>
              <w:jc w:val="left"/>
            </w:pPr>
            <w:r>
              <w:rPr>
                <w:b/>
              </w:rPr>
              <w:t xml:space="preserve">Floor</w:t>
            </w:r>
          </w:p>
        </w:tc>
        <w:tc>
          <w:p>
            <w:pPr>
              <w:pStyle w:val="Compact"/>
              <w:jc w:val="left"/>
            </w:pPr>
            <w:r>
              <w:t xml:space="preserve">A minimum rate even if the benchmark falls</w:t>
            </w:r>
          </w:p>
        </w:tc>
      </w:tr>
      <w:tr>
        <w:tc>
          <w:p>
            <w:pPr>
              <w:pStyle w:val="Compact"/>
              <w:jc w:val="left"/>
            </w:pPr>
            <w:r>
              <w:rPr>
                <w:b/>
              </w:rPr>
              <w:t xml:space="preserve">Benchmarks</w:t>
            </w:r>
          </w:p>
        </w:tc>
        <w:tc>
          <w:p>
            <w:pPr>
              <w:pStyle w:val="Compact"/>
              <w:jc w:val="left"/>
            </w:pPr>
            <w:r>
              <w:t xml:space="preserve">SOFR (USD), Taibor (TWD), Hibor (HKD), BBSY (AUD), Tonar (JPY), LPR (China), Klibor (Malaysia)</w:t>
            </w:r>
          </w:p>
        </w:tc>
      </w:tr>
      <w:tr>
        <w:tc>
          <w:p>
            <w:pPr>
              <w:pStyle w:val="Compact"/>
              <w:jc w:val="left"/>
            </w:pPr>
            <w:r>
              <w:rPr>
                <w:b/>
              </w:rPr>
              <w:t xml:space="preserve">OSAT</w:t>
            </w:r>
          </w:p>
        </w:tc>
        <w:tc>
          <w:p>
            <w:pPr>
              <w:pStyle w:val="Compact"/>
              <w:jc w:val="left"/>
            </w:pPr>
            <w:r>
              <w:t xml:space="preserve">Outsourced Semiconductor Assembly &amp; Test — ASE/SPIL’s business</w:t>
            </w:r>
          </w:p>
        </w:tc>
      </w:tr>
      <w:tr>
        <w:tc>
          <w:p>
            <w:pPr>
              <w:pStyle w:val="Compact"/>
              <w:jc w:val="left"/>
            </w:pPr>
            <w:r>
              <w:rPr>
                <w:b/>
              </w:rPr>
              <w:t xml:space="preserve">Article 72-2</w:t>
            </w:r>
          </w:p>
        </w:tc>
        <w:tc>
          <w:p>
            <w:pPr>
              <w:pStyle w:val="Compact"/>
              <w:jc w:val="left"/>
            </w:pPr>
            <w:r>
              <w:t xml:space="preserve">Taiwan Banking Act rule capping bank real-estate lending at 30% of deposits</w:t>
            </w:r>
          </w:p>
        </w:tc>
      </w:tr>
      <w:tr>
        <w:tc>
          <w:p>
            <w:pPr>
              <w:pStyle w:val="Compact"/>
              <w:jc w:val="left"/>
            </w:pPr>
            <w:r>
              <w:rPr>
                <w:b/>
              </w:rPr>
              <w:t xml:space="preserve">“</w:t>
            </w:r>
            <w:r>
              <w:rPr>
                <w:b/>
              </w:rPr>
              <w:t xml:space="preserve">CBC Bank</w:t>
            </w:r>
            <w:r>
              <w:rPr>
                <w:b/>
              </w:rPr>
              <w:t xml:space="preserve">”</w:t>
            </w:r>
          </w:p>
        </w:tc>
        <w:tc>
          <w:p>
            <w:pPr>
              <w:pStyle w:val="Compact"/>
              <w:jc w:val="left"/>
            </w:pPr>
            <w:r>
              <w:t xml:space="preserve">How some readings write</w:t>
            </w:r>
            <w:r>
              <w:t xml:space="preserve"> </w:t>
            </w:r>
            <w:r>
              <w:rPr>
                <w:b/>
              </w:rPr>
              <w:t xml:space="preserve">CTBC</w:t>
            </w:r>
            <w:r>
              <w:t xml:space="preserve"> </w:t>
            </w:r>
            <w:r>
              <w:t xml:space="preserve">—</w:t>
            </w:r>
            <w:r>
              <w:t xml:space="preserve"> </w:t>
            </w:r>
            <w:r>
              <w:rPr>
                <w:i/>
              </w:rPr>
              <w:t xml:space="preserve">always</w:t>
            </w:r>
            <w:r>
              <w:t xml:space="preserve"> </w:t>
            </w:r>
            <w:r>
              <w:t xml:space="preserve">treat as CTBC (not OCBC/ICBC)</w:t>
            </w:r>
          </w:p>
        </w:tc>
      </w:tr>
    </w:tbl>
    <w:p>
      <w:r>
        <w:pict>
          <v:rect style="width:0;height:1.5pt" o:hralign="center" o:hrstd="t" o:hr="t"/>
        </w:pict>
      </w:r>
    </w:p>
    <w:p>
      <w:pPr>
        <w:pStyle w:val="Heading2"/>
      </w:pPr>
      <w:bookmarkStart w:id="39" w:name="sources"/>
      <w:r>
        <w:t xml:space="preserve">Sources</w:t>
      </w:r>
      <w:bookmarkEnd w:id="39"/>
    </w:p>
    <w:p>
      <w:pPr>
        <w:numPr>
          <w:ilvl w:val="0"/>
          <w:numId w:val="1021"/>
        </w:numPr>
        <w:pStyle w:val="Compact"/>
      </w:pPr>
      <w:r>
        <w:rPr>
          <w:b/>
        </w:rPr>
        <w:t xml:space="preserve">Primary reading:</w:t>
      </w:r>
      <w:r>
        <w:t xml:space="preserve"> </w:t>
      </w:r>
      <w:r>
        <w:t xml:space="preserve">IFR / LSEG LPC,</w:t>
      </w:r>
      <w:r>
        <w:t xml:space="preserve"> </w:t>
      </w:r>
      <w:r>
        <w:rPr>
          <w:i/>
        </w:rPr>
        <w:t xml:space="preserve">“</w:t>
      </w:r>
      <w:r>
        <w:rPr>
          <w:i/>
        </w:rPr>
        <w:t xml:space="preserve">Malaysian data centres test lenders</w:t>
      </w:r>
      <w:r>
        <w:rPr>
          <w:i/>
        </w:rPr>
        <w:t xml:space="preserve">”</w:t>
      </w:r>
      <w:r>
        <w:t xml:space="preserve"> </w:t>
      </w:r>
      <w:r>
        <w:t xml:space="preserve">and the accompanying Asia-Pacific syndicated-loans roundup (week of 22 June 2026) — the confidential PDF in your Finance folder. Region capacity figures attributed in the text to</w:t>
      </w:r>
      <w:r>
        <w:t xml:space="preserve"> </w:t>
      </w:r>
      <w:r>
        <w:rPr>
          <w:b/>
        </w:rPr>
        <w:t xml:space="preserve">Cushman &amp; Wakefield</w:t>
      </w:r>
      <w:r>
        <w:t xml:space="preserve"> </w:t>
      </w:r>
      <w:r>
        <w:t xml:space="preserve">research.</w:t>
      </w:r>
    </w:p>
    <w:p>
      <w:pPr>
        <w:numPr>
          <w:ilvl w:val="0"/>
          <w:numId w:val="1021"/>
        </w:numPr>
        <w:pStyle w:val="Compact"/>
      </w:pPr>
      <w:r>
        <w:t xml:space="preserve">DayOne 2025 financing (context):</w:t>
      </w:r>
      <w:r>
        <w:t xml:space="preserve"> </w:t>
      </w:r>
      <w:hyperlink r:id="rId40">
        <w:r>
          <w:rPr>
            <w:rStyle w:val="Hyperlink"/>
          </w:rPr>
          <w:t xml:space="preserve">Bloomberg</w:t>
        </w:r>
      </w:hyperlink>
      <w:r>
        <w:t xml:space="preserve">,</w:t>
      </w:r>
      <w:r>
        <w:t xml:space="preserve"> </w:t>
      </w:r>
      <w:hyperlink r:id="rId41">
        <w:r>
          <w:rPr>
            <w:rStyle w:val="Hyperlink"/>
          </w:rPr>
          <w:t xml:space="preserve">DatacenterDynamics</w:t>
        </w:r>
      </w:hyperlink>
      <w:r>
        <w:t xml:space="preserve">,</w:t>
      </w:r>
      <w:r>
        <w:t xml:space="preserve"> </w:t>
      </w:r>
      <w:hyperlink r:id="rId42">
        <w:r>
          <w:rPr>
            <w:rStyle w:val="Hyperlink"/>
          </w:rPr>
          <w:t xml:space="preserve">Free Malaysia Today</w:t>
        </w:r>
      </w:hyperlink>
      <w:r>
        <w:t xml:space="preserve">,</w:t>
      </w:r>
      <w:r>
        <w:t xml:space="preserve"> </w:t>
      </w:r>
      <w:hyperlink r:id="rId43">
        <w:r>
          <w:rPr>
            <w:rStyle w:val="Hyperlink"/>
          </w:rPr>
          <w:t xml:space="preserve">Crédit Agricole CIB</w:t>
        </w:r>
      </w:hyperlink>
      <w:r>
        <w:t xml:space="preserve">.</w:t>
      </w:r>
    </w:p>
    <w:p>
      <w:pPr>
        <w:numPr>
          <w:ilvl w:val="0"/>
          <w:numId w:val="1021"/>
        </w:numPr>
        <w:pStyle w:val="Compact"/>
      </w:pPr>
      <w:r>
        <w:t xml:space="preserve">AirTrunk JHB2 (context):</w:t>
      </w:r>
      <w:r>
        <w:t xml:space="preserve"> </w:t>
      </w:r>
      <w:hyperlink r:id="rId44">
        <w:r>
          <w:rPr>
            <w:rStyle w:val="Hyperlink"/>
          </w:rPr>
          <w:t xml:space="preserve">Malay Mail</w:t>
        </w:r>
      </w:hyperlink>
      <w:r>
        <w:t xml:space="preserve">,</w:t>
      </w:r>
      <w:r>
        <w:t xml:space="preserve"> </w:t>
      </w:r>
      <w:hyperlink r:id="rId45">
        <w:r>
          <w:rPr>
            <w:rStyle w:val="Hyperlink"/>
          </w:rPr>
          <w:t xml:space="preserve">Construction Review</w:t>
        </w:r>
      </w:hyperlink>
      <w:r>
        <w:t xml:space="preserve">,</w:t>
      </w:r>
      <w:r>
        <w:t xml:space="preserve"> </w:t>
      </w:r>
      <w:hyperlink r:id="rId46">
        <w:r>
          <w:rPr>
            <w:rStyle w:val="Hyperlink"/>
          </w:rPr>
          <w:t xml:space="preserve">w.media</w:t>
        </w:r>
      </w:hyperlink>
      <w:r>
        <w:t xml:space="preserve">.</w:t>
      </w:r>
    </w:p>
    <w:p>
      <w:pPr>
        <w:numPr>
          <w:ilvl w:val="0"/>
          <w:numId w:val="1021"/>
        </w:numPr>
        <w:pStyle w:val="Compact"/>
      </w:pPr>
      <w:r>
        <w:t xml:space="preserve">Apollo / Nippon Sheet Glass (context):</w:t>
      </w:r>
      <w:r>
        <w:t xml:space="preserve"> </w:t>
      </w:r>
      <w:hyperlink r:id="rId47">
        <w:r>
          <w:rPr>
            <w:rStyle w:val="Hyperlink"/>
          </w:rPr>
          <w:t xml:space="preserve">Apollo press release</w:t>
        </w:r>
      </w:hyperlink>
      <w:r>
        <w:t xml:space="preserve">,</w:t>
      </w:r>
      <w:r>
        <w:t xml:space="preserve"> </w:t>
      </w:r>
      <w:hyperlink r:id="rId48">
        <w:r>
          <w:rPr>
            <w:rStyle w:val="Hyperlink"/>
          </w:rPr>
          <w:t xml:space="preserve">Nikkei Asia</w:t>
        </w:r>
      </w:hyperlink>
      <w:r>
        <w:t xml:space="preserve">,</w:t>
      </w:r>
      <w:r>
        <w:t xml:space="preserve"> </w:t>
      </w:r>
      <w:hyperlink r:id="rId49">
        <w:r>
          <w:rPr>
            <w:rStyle w:val="Hyperlink"/>
          </w:rPr>
          <w:t xml:space="preserve">Law360</w:t>
        </w:r>
      </w:hyperlink>
      <w:r>
        <w:t xml:space="preserve">.</w:t>
      </w:r>
    </w:p>
    <w:p>
      <w:pPr>
        <w:numPr>
          <w:ilvl w:val="0"/>
          <w:numId w:val="1021"/>
        </w:numPr>
        <w:pStyle w:val="Compact"/>
      </w:pPr>
      <w:r>
        <w:t xml:space="preserve">CTBC AI-lending credibility (context):</w:t>
      </w:r>
      <w:r>
        <w:t xml:space="preserve"> </w:t>
      </w:r>
      <w:hyperlink r:id="rId50">
        <w:r>
          <w:rPr>
            <w:rStyle w:val="Hyperlink"/>
          </w:rPr>
          <w:t xml:space="preserve">Focus Taiwan — Supermicro US$1.765bn</w:t>
        </w:r>
      </w:hyperlink>
      <w:r>
        <w:t xml:space="preserve">,</w:t>
      </w:r>
      <w:r>
        <w:t xml:space="preserve"> </w:t>
      </w:r>
      <w:hyperlink r:id="rId51">
        <w:r>
          <w:rPr>
            <w:rStyle w:val="Hyperlink"/>
          </w:rPr>
          <w:t xml:space="preserve">Taipei Times</w:t>
        </w:r>
      </w:hyperlink>
      <w:r>
        <w:t xml:space="preserve">.</w:t>
      </w:r>
    </w:p>
    <w:p>
      <w:pPr>
        <w:pStyle w:val="FirstParagraph"/>
      </w:pPr>
      <w:r>
        <w:rPr>
          <w:i/>
        </w:rPr>
        <w:t xml:space="preserve">Confidential — built partly from licensed IFR / LSEG LPC material. Keep on CTBC-controlled systems; do not publish or share externally.</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8" Target="https://asia.nikkei.com/business/business-deals/us-fund-apollo-aims-to-acquire-japan-glassmaker-to-save-it-from-old-m-a-loan" TargetMode="External" /><Relationship Type="http://schemas.openxmlformats.org/officeDocument/2006/relationships/hyperlink" Id="rId45" Target="https://constructionreviewonline.com/airtrunk-jhb2-data-center-project-targets-2-3-billion-loan-for-malaysia-expansion/" TargetMode="External" /><Relationship Type="http://schemas.openxmlformats.org/officeDocument/2006/relationships/hyperlink" Id="rId50" Target="https://focustaiwan.tw/business/202602090017" TargetMode="External" /><Relationship Type="http://schemas.openxmlformats.org/officeDocument/2006/relationships/hyperlink" Id="rId46" Target="https://w.media/airtrunk-to-invest-us-3-billion-in-johor-to-build-two-hyperscale-campuses-totaling-280mw-capacity/" TargetMode="External" /><Relationship Type="http://schemas.openxmlformats.org/officeDocument/2006/relationships/hyperlink" Id="rId47" Target="https://www.apollo.com/insights-news/pressreleases/2026/03/apollo-funds-announce-strategic-investment-in-nsg-group-a-global-leader-in-glass-manufacturing-3260933" TargetMode="External" /><Relationship Type="http://schemas.openxmlformats.org/officeDocument/2006/relationships/hyperlink" Id="rId40" Target="https://www.bloomberg.com/news/articles/2025-06-11/dayone-secures-3-5-billion-financing-for-johor-data-centers" TargetMode="External" /><Relationship Type="http://schemas.openxmlformats.org/officeDocument/2006/relationships/hyperlink" Id="rId43" Target="https://www.ca-cib.com/en/news/credit-agricole-cib-supports-dayone-data-centers-benchmark-data-centre-financing-malaysia" TargetMode="External" /><Relationship Type="http://schemas.openxmlformats.org/officeDocument/2006/relationships/hyperlink" Id="rId41" Target="https://www.datacenterdynamics.com/en/news/dayone-secures-354bn-financing-for-malayasian-data-centers/" TargetMode="External" /><Relationship Type="http://schemas.openxmlformats.org/officeDocument/2006/relationships/hyperlink" Id="rId42" Target="https://www.freemalaysiatoday.com/category/business/2025/06/11/dayone-secures-us3-5bil-financing-for-johor-data-centres" TargetMode="External" /><Relationship Type="http://schemas.openxmlformats.org/officeDocument/2006/relationships/hyperlink" Id="rId49" Target="https://www.law360.com/articles/2456685/apollo-3-7b-nippon-deal-marks-its-largest-japan-investment" TargetMode="External" /><Relationship Type="http://schemas.openxmlformats.org/officeDocument/2006/relationships/hyperlink" Id="rId44" Target="https://www.malaymail.com/news/money/2026/05/14/blackstone-owned-airtrunk-eyes-rm9b-financing-for-massive-johor-data-centre-report-says/219907" TargetMode="External" /><Relationship Type="http://schemas.openxmlformats.org/officeDocument/2006/relationships/hyperlink" Id="rId51" Target="https://www.taipeitimes.com/News/biz/archives/2026/02/10/2003852053" TargetMode="External" /></Relationships>
</file>

<file path=word/_rels/footnotes.xml.rels><?xml version="1.0" encoding="UTF-8"?>
<Relationships xmlns="http://schemas.openxmlformats.org/package/2006/relationships"><Relationship Type="http://schemas.openxmlformats.org/officeDocument/2006/relationships/hyperlink" Id="rId48" Target="https://asia.nikkei.com/business/business-deals/us-fund-apollo-aims-to-acquire-japan-glassmaker-to-save-it-from-old-m-a-loan" TargetMode="External" /><Relationship Type="http://schemas.openxmlformats.org/officeDocument/2006/relationships/hyperlink" Id="rId45" Target="https://constructionreviewonline.com/airtrunk-jhb2-data-center-project-targets-2-3-billion-loan-for-malaysia-expansion/" TargetMode="External" /><Relationship Type="http://schemas.openxmlformats.org/officeDocument/2006/relationships/hyperlink" Id="rId50" Target="https://focustaiwan.tw/business/202602090017" TargetMode="External" /><Relationship Type="http://schemas.openxmlformats.org/officeDocument/2006/relationships/hyperlink" Id="rId46" Target="https://w.media/airtrunk-to-invest-us-3-billion-in-johor-to-build-two-hyperscale-campuses-totaling-280mw-capacity/" TargetMode="External" /><Relationship Type="http://schemas.openxmlformats.org/officeDocument/2006/relationships/hyperlink" Id="rId47" Target="https://www.apollo.com/insights-news/pressreleases/2026/03/apollo-funds-announce-strategic-investment-in-nsg-group-a-global-leader-in-glass-manufacturing-3260933" TargetMode="External" /><Relationship Type="http://schemas.openxmlformats.org/officeDocument/2006/relationships/hyperlink" Id="rId40" Target="https://www.bloomberg.com/news/articles/2025-06-11/dayone-secures-3-5-billion-financing-for-johor-data-centers" TargetMode="External" /><Relationship Type="http://schemas.openxmlformats.org/officeDocument/2006/relationships/hyperlink" Id="rId43" Target="https://www.ca-cib.com/en/news/credit-agricole-cib-supports-dayone-data-centers-benchmark-data-centre-financing-malaysia" TargetMode="External" /><Relationship Type="http://schemas.openxmlformats.org/officeDocument/2006/relationships/hyperlink" Id="rId41" Target="https://www.datacenterdynamics.com/en/news/dayone-secures-354bn-financing-for-malayasian-data-centers/" TargetMode="External" /><Relationship Type="http://schemas.openxmlformats.org/officeDocument/2006/relationships/hyperlink" Id="rId42" Target="https://www.freemalaysiatoday.com/category/business/2025/06/11/dayone-secures-us3-5bil-financing-for-johor-data-centres" TargetMode="External" /><Relationship Type="http://schemas.openxmlformats.org/officeDocument/2006/relationships/hyperlink" Id="rId49" Target="https://www.law360.com/articles/2456685/apollo-3-7b-nippon-deal-marks-its-largest-japan-investment" TargetMode="External" /><Relationship Type="http://schemas.openxmlformats.org/officeDocument/2006/relationships/hyperlink" Id="rId44" Target="https://www.malaymail.com/news/money/2026/05/14/blackstone-owned-airtrunk-eyes-rm9b-financing-for-massive-johor-data-centre-report-says/219907" TargetMode="External" /><Relationship Type="http://schemas.openxmlformats.org/officeDocument/2006/relationships/hyperlink" Id="rId51" Target="https://www.taipeitimes.com/News/biz/archives/2026/02/10/200385205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2026-06-24T07:10:33Z</dcterms:created>
  <dcterms:modified xsi:type="dcterms:W3CDTF">2026-06-24T07:10:33Z</dcterms:modified>
</cp:coreProperties>
</file>

<file path=docProps/custom.xml><?xml version="1.0" encoding="utf-8"?>
<Properties xmlns="http://schemas.openxmlformats.org/officeDocument/2006/custom-properties" xmlns:vt="http://schemas.openxmlformats.org/officeDocument/2006/docPropsVTypes"/>
</file>