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31cde8fd387a15570ce89bd3d9dbd732706ef86"/>
      <w:r>
        <w:t xml:space="preserve">Asia-Pacific Syndicated Loan Tracker — Briefing &amp; Deep Dive</w:t>
      </w:r>
      <w:bookmarkEnd w:id="20"/>
    </w:p>
    <w:p>
      <w:pPr>
        <w:pStyle w:val="FirstParagraph"/>
      </w:pPr>
      <w:r>
        <w:rPr>
          <w:b/>
        </w:rPr>
        <w:t xml:space="preserve">Prepared for:</w:t>
      </w:r>
      <w:r>
        <w:t xml:space="preserve"> </w:t>
      </w:r>
      <w:r>
        <w:t xml:space="preserve">Henry — CTBC Bank internship reading</w:t>
      </w:r>
      <w:r>
        <w:t xml:space="preserve"> </w:t>
      </w:r>
      <w:r>
        <w:rPr>
          <w:b/>
        </w:rPr>
        <w:t xml:space="preserve">Source document:</w:t>
      </w:r>
      <w:r>
        <w:t xml:space="preserve"> </w:t>
      </w:r>
      <w:r>
        <w:t xml:space="preserve">IFR / LSEG LPC Asia-Pacific syndicated loans roundup, lead story</w:t>
      </w:r>
      <w:r>
        <w:t xml:space="preserve"> </w:t>
      </w:r>
      <w:r>
        <w:rPr>
          <w:i/>
        </w:rPr>
        <w:t xml:space="preserve">“</w:t>
      </w:r>
      <w:r>
        <w:rPr>
          <w:i/>
        </w:rPr>
        <w:t xml:space="preserve">AI boom drives Taiwan lending</w:t>
      </w:r>
      <w:r>
        <w:rPr>
          <w:i/>
        </w:rPr>
        <w:t xml:space="preserve">”</w:t>
      </w:r>
      <w:r>
        <w:t xml:space="preserve"> </w:t>
      </w:r>
      <w:r>
        <w:t xml:space="preserve">(June 2026)</w:t>
      </w:r>
      <w:r>
        <w:t xml:space="preserve"> </w:t>
      </w:r>
      <w:r>
        <w:rPr>
          <w:b/>
        </w:rPr>
        <w:t xml:space="preserve">Date:</w:t>
      </w:r>
      <w:r>
        <w:t xml:space="preserve"> </w:t>
      </w:r>
      <w:r>
        <w:t xml:space="preserve">16 June 2026</w:t>
      </w:r>
      <w:r>
        <w:t xml:space="preserve"> </w:t>
      </w:r>
      <w:r>
        <w:rPr>
          <w:b/>
        </w:rPr>
        <w:t xml:space="preserve">Lens:</w:t>
      </w:r>
      <w:r>
        <w:t xml:space="preserve"> </w:t>
      </w:r>
      <w:r>
        <w:t xml:space="preserve">Taiwan-centric, corporate-banking / loan-syndications angle, with CTBC’s own positioning, pricing trends, and risks</w:t>
      </w:r>
    </w:p>
    <w:p>
      <w:r>
        <w:pict>
          <v:rect style="width:0;height:1.5pt" o:hralign="center" o:hrstd="t" o:hr="t"/>
        </w:pict>
      </w:r>
    </w:p>
    <w:p>
      <w:pPr>
        <w:pStyle w:val="Heading2"/>
      </w:pPr>
      <w:bookmarkStart w:id="21" w:name="the-60-second-rundown"/>
      <w:r>
        <w:t xml:space="preserve">1. The 60-second rundown</w:t>
      </w:r>
      <w:bookmarkEnd w:id="21"/>
    </w:p>
    <w:p>
      <w:pPr>
        <w:pStyle w:val="FirstParagraph"/>
      </w:pPr>
      <w:r>
        <w:t xml:space="preserve">The document you were given is a weekly</w:t>
      </w:r>
      <w:r>
        <w:t xml:space="preserve"> </w:t>
      </w:r>
      <w:r>
        <w:rPr>
          <w:b/>
        </w:rPr>
        <w:t xml:space="preserve">syndicated loan market tracker</w:t>
      </w:r>
      <w:r>
        <w:t xml:space="preserve"> </w:t>
      </w:r>
      <w:r>
        <w:t xml:space="preserve">— essentially a deal sheet that reporters and bankers use to see who is borrowing, how much, from which banks, and on what terms across Asia-Pacific. It is published by IFR (International Financing Review), part of LSEG. Think of it as the</w:t>
      </w:r>
      <w:r>
        <w:t xml:space="preserve"> </w:t>
      </w:r>
      <w:r>
        <w:t xml:space="preserve">“</w:t>
      </w:r>
      <w:r>
        <w:t xml:space="preserve">police scanner</w:t>
      </w:r>
      <w:r>
        <w:t xml:space="preserve">”</w:t>
      </w:r>
      <w:r>
        <w:t xml:space="preserve"> </w:t>
      </w:r>
      <w:r>
        <w:t xml:space="preserve">of the corporate lending market.</w:t>
      </w:r>
    </w:p>
    <w:p>
      <w:pPr>
        <w:pStyle w:val="BodyText"/>
      </w:pPr>
      <w:r>
        <w:t xml:space="preserve">The headline story is the one that matters most for you at CTBC:</w:t>
      </w:r>
      <w:r>
        <w:t xml:space="preserve"> </w:t>
      </w:r>
      <w:r>
        <w:rPr>
          <w:b/>
        </w:rPr>
        <w:t xml:space="preserve">an AI-driven borrowing boom is sweeping through Taiwan’s semiconductor supply chain</w:t>
      </w:r>
      <w:r>
        <w:t xml:space="preserve">, and Taiwanese banks (CTBC very much included) are at the center of financing it.</w:t>
      </w:r>
    </w:p>
    <w:p>
      <w:pPr>
        <w:pStyle w:val="BodyText"/>
      </w:pPr>
      <w:r>
        <w:t xml:space="preserve">Three things to take away before any detail:</w:t>
      </w:r>
    </w:p>
    <w:p>
      <w:pPr>
        <w:numPr>
          <w:ilvl w:val="0"/>
          <w:numId w:val="1001"/>
        </w:numPr>
      </w:pPr>
      <w:r>
        <w:rPr>
          <w:b/>
        </w:rPr>
        <w:t xml:space="preserve">The money is chasing AI down the entire chip supply chain.</w:t>
      </w:r>
      <w:r>
        <w:t xml:space="preserve"> </w:t>
      </w:r>
      <w:r>
        <w:t xml:space="preserve">It started with the obvious winners (chip packaging, advanced foundry) but has now reached parts of the industry everyone had written off — especially</w:t>
      </w:r>
      <w:r>
        <w:t xml:space="preserve"> </w:t>
      </w:r>
      <w:r>
        <w:rPr>
          <w:b/>
        </w:rPr>
        <w:t xml:space="preserve">commodity memory makers</w:t>
      </w:r>
      <w:r>
        <w:t xml:space="preserve"> </w:t>
      </w:r>
      <w:r>
        <w:t xml:space="preserve">that were losing money for years and are suddenly hugely profitable. They are all rushing to the loan market to fund expansion.</w:t>
      </w:r>
    </w:p>
    <w:p>
      <w:pPr>
        <w:numPr>
          <w:ilvl w:val="0"/>
          <w:numId w:val="1001"/>
        </w:numPr>
      </w:pPr>
      <w:r>
        <w:rPr>
          <w:b/>
        </w:rPr>
        <w:t xml:space="preserve">Volumes have exploded.</w:t>
      </w:r>
      <w:r>
        <w:t xml:space="preserve"> </w:t>
      </w:r>
      <w:r>
        <w:t xml:space="preserve">Semiconductor-sector loan volume in Asia is on track for roughly</w:t>
      </w:r>
      <w:r>
        <w:t xml:space="preserve"> </w:t>
      </w:r>
      <w:r>
        <w:rPr>
          <w:b/>
        </w:rPr>
        <w:t xml:space="preserve">US$7.6bn in 2026, more than double the US$3.4bn raised in all of 2025</w:t>
      </w:r>
      <w:r>
        <w:t xml:space="preserve"> </w:t>
      </w:r>
      <w:r>
        <w:t xml:space="preserve">(LSEG LPC data). The single biggest name in the pipeline is</w:t>
      </w:r>
      <w:r>
        <w:t xml:space="preserve"> </w:t>
      </w:r>
      <w:r>
        <w:rPr>
          <w:b/>
        </w:rPr>
        <w:t xml:space="preserve">ASE Technology</w:t>
      </w:r>
      <w:r>
        <w:t xml:space="preserve"> </w:t>
      </w:r>
      <w:r>
        <w:t xml:space="preserve">— the world’s largest chip packaging-and-testing firm — sounding out</w:t>
      </w:r>
      <w:r>
        <w:t xml:space="preserve"> </w:t>
      </w:r>
      <w:r>
        <w:rPr>
          <w:b/>
        </w:rPr>
        <w:t xml:space="preserve">NT$80bn (US$2.52bn)</w:t>
      </w:r>
      <w:r>
        <w:t xml:space="preserve"> </w:t>
      </w:r>
      <w:r>
        <w:t xml:space="preserve">in new facilities.</w:t>
      </w:r>
    </w:p>
    <w:p>
      <w:pPr>
        <w:numPr>
          <w:ilvl w:val="0"/>
          <w:numId w:val="1001"/>
        </w:numPr>
      </w:pPr>
      <w:r>
        <w:rPr>
          <w:b/>
        </w:rPr>
        <w:t xml:space="preserve">Bankers are openly asking if this is a top.</w:t>
      </w:r>
      <w:r>
        <w:t xml:space="preserve"> </w:t>
      </w:r>
      <w:r>
        <w:t xml:space="preserve">The report’s</w:t>
      </w:r>
      <w:r>
        <w:t xml:space="preserve"> </w:t>
      </w:r>
      <w:r>
        <w:t xml:space="preserve">“</w:t>
      </w:r>
      <w:r>
        <w:t xml:space="preserve">Tipping point?</w:t>
      </w:r>
      <w:r>
        <w:t xml:space="preserve">”</w:t>
      </w:r>
      <w:r>
        <w:t xml:space="preserve"> </w:t>
      </w:r>
      <w:r>
        <w:t xml:space="preserve">section captures real anxiety: borrowers want flat-to-lower pricing, everyone is scrambling for cash at once, and lead banks are pushing deals out the door</w:t>
      </w:r>
      <w:r>
        <w:t xml:space="preserve"> </w:t>
      </w:r>
      <w:r>
        <w:rPr>
          <w:i/>
        </w:rPr>
        <w:t xml:space="preserve">fast</w:t>
      </w:r>
      <w:r>
        <w:t xml:space="preserve"> </w:t>
      </w:r>
      <w:r>
        <w:t xml:space="preserve">“</w:t>
      </w:r>
      <w:r>
        <w:t xml:space="preserve">because nobody knows what the second half will look like.</w:t>
      </w:r>
      <w:r>
        <w:t xml:space="preserve">”</w:t>
      </w:r>
      <w:r>
        <w:t xml:space="preserve"> </w:t>
      </w:r>
      <w:r>
        <w:t xml:space="preserve">That tension — boom now, uncertainty later — is the most important thing to understand, and it is where the risk discussion lives.</w:t>
      </w:r>
    </w:p>
    <w:p>
      <w:pPr>
        <w:pStyle w:val="FirstParagraph"/>
      </w:pPr>
      <w:r>
        <w:t xml:space="preserve">The rest of the document is a country-by-country roundup of other live deals (Australia, China, Hong Kong, Japan, Macau, Malaysia, New Zealand, Singapore, South Korea, Vietnam), which gives you a useful read on what the</w:t>
      </w:r>
      <w:r>
        <w:t xml:space="preserve"> </w:t>
      </w:r>
      <w:r>
        <w:rPr>
          <w:i/>
        </w:rPr>
        <w:t xml:space="preserve">whole</w:t>
      </w:r>
      <w:r>
        <w:t xml:space="preserve"> </w:t>
      </w:r>
      <w:r>
        <w:t xml:space="preserve">regional market looks like right now.</w:t>
      </w:r>
    </w:p>
    <w:p>
      <w:r>
        <w:pict>
          <v:rect style="width:0;height:1.5pt" o:hralign="center" o:hrstd="t" o:hr="t"/>
        </w:pict>
      </w:r>
    </w:p>
    <w:p>
      <w:pPr>
        <w:pStyle w:val="Heading2"/>
      </w:pPr>
      <w:bookmarkStart w:id="22" w:name="X5b1ec47492c3d93c21d45f6d7130a27ef938e33"/>
      <w:r>
        <w:t xml:space="preserve">2. How to read a syndicated loan (plain-English primer)</w:t>
      </w:r>
      <w:bookmarkEnd w:id="22"/>
    </w:p>
    <w:p>
      <w:pPr>
        <w:pStyle w:val="FirstParagraph"/>
      </w:pPr>
      <w:r>
        <w:t xml:space="preserve">Since this is your first exposure to loans, here’s the vocabulary you need. The tracker is dense with jargon; once you can decode one deal entry, you can read them all. Keep this section handy during the discussion.</w:t>
      </w:r>
    </w:p>
    <w:p>
      <w:pPr>
        <w:pStyle w:val="BodyText"/>
      </w:pPr>
      <w:r>
        <w:rPr>
          <w:b/>
        </w:rPr>
        <w:t xml:space="preserve">Syndicated loan.</w:t>
      </w:r>
      <w:r>
        <w:t xml:space="preserve"> </w:t>
      </w:r>
      <w:r>
        <w:t xml:space="preserve">A single large loan provided by a</w:t>
      </w:r>
      <w:r>
        <w:t xml:space="preserve"> </w:t>
      </w:r>
      <w:r>
        <w:rPr>
          <w:i/>
        </w:rPr>
        <w:t xml:space="preserve">group</w:t>
      </w:r>
      <w:r>
        <w:t xml:space="preserve"> </w:t>
      </w:r>
      <w:r>
        <w:t xml:space="preserve">(syndicate) of banks rather than one lender. Used when an amount is too big — or too risky — for one bank to hold alone. The borrower negotiates one set of terms; the banks split the exposure.</w:t>
      </w:r>
    </w:p>
    <w:p>
      <w:pPr>
        <w:pStyle w:val="BodyText"/>
      </w:pPr>
      <w:r>
        <w:rPr>
          <w:b/>
        </w:rPr>
        <w:t xml:space="preserve">The bank roles (the hierarchy).</w:t>
      </w:r>
      <w:r>
        <w:t xml:space="preserve"> </w:t>
      </w:r>
      <w:r>
        <w:t xml:space="preserve">-</w:t>
      </w:r>
      <w:r>
        <w:t xml:space="preserve"> </w:t>
      </w:r>
      <w:r>
        <w:rPr>
          <w:b/>
        </w:rPr>
        <w:t xml:space="preserve">MLAB = Mandated Lead Arranger and Bookrunner.</w:t>
      </w:r>
      <w:r>
        <w:t xml:space="preserve"> </w:t>
      </w:r>
      <w:r>
        <w:t xml:space="preserve">The top of the food chain. These banks are</w:t>
      </w:r>
      <w:r>
        <w:t xml:space="preserve"> </w:t>
      </w:r>
      <w:r>
        <w:rPr>
          <w:i/>
        </w:rPr>
        <w:t xml:space="preserve">mandated</w:t>
      </w:r>
      <w:r>
        <w:t xml:space="preserve"> </w:t>
      </w:r>
      <w:r>
        <w:t xml:space="preserve">by the borrower to structure the deal, set terms, and</w:t>
      </w:r>
      <w:r>
        <w:t xml:space="preserve"> </w:t>
      </w:r>
      <w:r>
        <w:t xml:space="preserve">“</w:t>
      </w:r>
      <w:r>
        <w:t xml:space="preserve">run the book</w:t>
      </w:r>
      <w:r>
        <w:t xml:space="preserve">”</w:t>
      </w:r>
      <w:r>
        <w:t xml:space="preserve"> </w:t>
      </w:r>
      <w:r>
        <w:t xml:space="preserve">(invite other banks and allocate who gets how much). This is the prestigious, fee-rich role — and the one CTBC competes for.</w:t>
      </w:r>
      <w:r>
        <w:t xml:space="preserve"> </w:t>
      </w:r>
      <w:r>
        <w:t xml:space="preserve">-</w:t>
      </w:r>
      <w:r>
        <w:t xml:space="preserve"> </w:t>
      </w:r>
      <w:r>
        <w:rPr>
          <w:b/>
        </w:rPr>
        <w:t xml:space="preserve">MLA / Lead Arranger / Arranger.</w:t>
      </w:r>
      <w:r>
        <w:t xml:space="preserve"> </w:t>
      </w:r>
      <w:r>
        <w:t xml:space="preserve">Lower tiers of participation. They commit money and earn fees, but they didn’t structure the deal. The size of your commitment determines your title and your fee.</w:t>
      </w:r>
      <w:r>
        <w:t xml:space="preserve"> </w:t>
      </w:r>
      <w:r>
        <w:t xml:space="preserve">-</w:t>
      </w:r>
      <w:r>
        <w:t xml:space="preserve"> </w:t>
      </w:r>
      <w:r>
        <w:rPr>
          <w:b/>
        </w:rPr>
        <w:t xml:space="preserve">Coordinator / Agent.</w:t>
      </w:r>
      <w:r>
        <w:t xml:space="preserve"> </w:t>
      </w:r>
      <w:r>
        <w:t xml:space="preserve">The coordinator marshals the syndication process; the (facility) agent administers the loan after signing — collecting payments, passing them around. Often the same bank.</w:t>
      </w:r>
      <w:r>
        <w:t xml:space="preserve"> </w:t>
      </w:r>
      <w:r>
        <w:t xml:space="preserve">-</w:t>
      </w:r>
      <w:r>
        <w:t xml:space="preserve"> </w:t>
      </w:r>
      <w:r>
        <w:rPr>
          <w:b/>
        </w:rPr>
        <w:t xml:space="preserve">Underwriter.</w:t>
      </w:r>
      <w:r>
        <w:t xml:space="preserve"> </w:t>
      </w:r>
      <w:r>
        <w:t xml:space="preserve">A bank that</w:t>
      </w:r>
      <w:r>
        <w:t xml:space="preserve"> </w:t>
      </w:r>
      <w:r>
        <w:rPr>
          <w:i/>
        </w:rPr>
        <w:t xml:space="preserve">guarantees</w:t>
      </w:r>
      <w:r>
        <w:t xml:space="preserve"> </w:t>
      </w:r>
      <w:r>
        <w:t xml:space="preserve">the borrower a certain amount even if other banks don’t show up — it takes the risk the deal isn’t fully sold. More risk, more fee.</w:t>
      </w:r>
    </w:p>
    <w:p>
      <w:pPr>
        <w:pStyle w:val="BodyText"/>
      </w:pPr>
      <w:r>
        <w:rPr>
          <w:b/>
        </w:rPr>
        <w:t xml:space="preserve">General syndication.</w:t>
      </w:r>
      <w:r>
        <w:t xml:space="preserve"> </w:t>
      </w:r>
      <w:r>
        <w:t xml:space="preserve">The phase where the lead banks invite the broader market to join.</w:t>
      </w:r>
      <w:r>
        <w:t xml:space="preserve"> </w:t>
      </w:r>
      <w:r>
        <w:t xml:space="preserve">“</w:t>
      </w:r>
      <w:r>
        <w:t xml:space="preserve">Attracted 14 banks in general syndication</w:t>
      </w:r>
      <w:r>
        <w:t xml:space="preserve">”</w:t>
      </w:r>
      <w:r>
        <w:t xml:space="preserve"> </w:t>
      </w:r>
      <w:r>
        <w:t xml:space="preserve">= strong demand.</w:t>
      </w:r>
    </w:p>
    <w:p>
      <w:pPr>
        <w:pStyle w:val="BodyText"/>
      </w:pPr>
      <w:r>
        <w:rPr>
          <w:b/>
        </w:rPr>
        <w:t xml:space="preserve">Club loan.</w:t>
      </w:r>
      <w:r>
        <w:t xml:space="preserve"> </w:t>
      </w:r>
      <w:r>
        <w:t xml:space="preserve">A smaller deal pre-arranged among a handful of relationship banks, with no broad syndication. Clubby, relationship-driven.</w:t>
      </w:r>
    </w:p>
    <w:p>
      <w:pPr>
        <w:pStyle w:val="BodyText"/>
      </w:pPr>
      <w:r>
        <w:rPr>
          <w:b/>
        </w:rPr>
        <w:t xml:space="preserve">Tranche.</w:t>
      </w:r>
      <w:r>
        <w:t xml:space="preserve"> </w:t>
      </w:r>
      <w:r>
        <w:t xml:space="preserve">A slice of the loan with its own terms. One deal can have several tranches — e.g., a term loan tranche, a revolving tranche, a USD tranche and a local-currency tranche.</w:t>
      </w:r>
    </w:p>
    <w:p>
      <w:pPr>
        <w:pStyle w:val="BodyText"/>
      </w:pPr>
      <w:r>
        <w:rPr>
          <w:b/>
        </w:rPr>
        <w:t xml:space="preserve">Term loan vs. revolving credit facility (RCF).</w:t>
      </w:r>
      <w:r>
        <w:t xml:space="preserve"> </w:t>
      </w:r>
      <w:r>
        <w:t xml:space="preserve">- A</w:t>
      </w:r>
      <w:r>
        <w:t xml:space="preserve"> </w:t>
      </w:r>
      <w:r>
        <w:rPr>
          <w:b/>
        </w:rPr>
        <w:t xml:space="preserve">term loan</w:t>
      </w:r>
      <w:r>
        <w:t xml:space="preserve"> </w:t>
      </w:r>
      <w:r>
        <w:t xml:space="preserve">is borrowed once and repaid on a schedule.</w:t>
      </w:r>
      <w:r>
        <w:t xml:space="preserve"> </w:t>
      </w:r>
      <w:r>
        <w:t xml:space="preserve">- A</w:t>
      </w:r>
      <w:r>
        <w:t xml:space="preserve"> </w:t>
      </w:r>
      <w:r>
        <w:rPr>
          <w:b/>
        </w:rPr>
        <w:t xml:space="preserve">revolver (RCF)</w:t>
      </w:r>
      <w:r>
        <w:t xml:space="preserve"> </w:t>
      </w:r>
      <w:r>
        <w:t xml:space="preserve">is like a corporate credit card — draw, repay, redraw up to a limit. Used for working capital / flexibility.</w:t>
      </w:r>
      <w:r>
        <w:t xml:space="preserve"> </w:t>
      </w:r>
      <w:r>
        <w:t xml:space="preserve">-</w:t>
      </w:r>
      <w:r>
        <w:t xml:space="preserve"> </w:t>
      </w:r>
      <w:r>
        <w:rPr>
          <w:b/>
        </w:rPr>
        <w:t xml:space="preserve">Bullet</w:t>
      </w:r>
      <w:r>
        <w:t xml:space="preserve"> </w:t>
      </w:r>
      <w:r>
        <w:t xml:space="preserve">= whole principal repaid at the end (no amortization).</w:t>
      </w:r>
      <w:r>
        <w:t xml:space="preserve"> </w:t>
      </w:r>
      <w:r>
        <w:rPr>
          <w:b/>
        </w:rPr>
        <w:t xml:space="preserve">Amortising</w:t>
      </w:r>
      <w:r>
        <w:t xml:space="preserve"> </w:t>
      </w:r>
      <w:r>
        <w:t xml:space="preserve">= principal paid down over the life.</w:t>
      </w:r>
    </w:p>
    <w:p>
      <w:pPr>
        <w:pStyle w:val="BodyText"/>
      </w:pPr>
      <w:r>
        <w:rPr>
          <w:b/>
        </w:rPr>
        <w:t xml:space="preserve">Tenor.</w:t>
      </w:r>
      <w:r>
        <w:t xml:space="preserve"> </w:t>
      </w:r>
      <w:r>
        <w:t xml:space="preserve">The length of the loan (e.g.,</w:t>
      </w:r>
      <w:r>
        <w:t xml:space="preserve"> </w:t>
      </w:r>
      <w:r>
        <w:t xml:space="preserve">“</w:t>
      </w:r>
      <w:r>
        <w:t xml:space="preserve">three-year,</w:t>
      </w:r>
      <w:r>
        <w:t xml:space="preserve">”</w:t>
      </w:r>
      <w:r>
        <w:t xml:space="preserve"> </w:t>
      </w:r>
      <w:r>
        <w:t xml:space="preserve">“</w:t>
      </w:r>
      <w:r>
        <w:t xml:space="preserve">5.5-year</w:t>
      </w:r>
      <w:r>
        <w:t xml:space="preserve">”</w:t>
      </w:r>
      <w:r>
        <w:t xml:space="preserve">).</w:t>
      </w:r>
      <w:r>
        <w:t xml:space="preserve"> </w:t>
      </w:r>
      <w:r>
        <w:rPr>
          <w:b/>
        </w:rPr>
        <w:t xml:space="preserve">Average life / weighted-average life</w:t>
      </w:r>
      <w:r>
        <w:t xml:space="preserve"> </w:t>
      </w:r>
      <w:r>
        <w:t xml:space="preserve">= the average time the money is actually outstanding (lower than tenor if it amortizes).</w:t>
      </w:r>
    </w:p>
    <w:p>
      <w:pPr>
        <w:pStyle w:val="BodyText"/>
      </w:pPr>
      <w:r>
        <w:rPr>
          <w:b/>
        </w:rPr>
        <w:t xml:space="preserve">Margin (a.k.a. spread).</w:t>
      </w:r>
      <w:r>
        <w:t xml:space="preserve"> </w:t>
      </w:r>
      <w:r>
        <w:t xml:space="preserve">The extra interest the borrower pays</w:t>
      </w:r>
      <w:r>
        <w:t xml:space="preserve"> </w:t>
      </w:r>
      <w:r>
        <w:rPr>
          <w:i/>
        </w:rPr>
        <w:t xml:space="preserve">above a benchmark rate</w:t>
      </w:r>
      <w:r>
        <w:t xml:space="preserve">, quoted in</w:t>
      </w:r>
      <w:r>
        <w:t xml:space="preserve"> </w:t>
      </w:r>
      <w:r>
        <w:rPr>
          <w:b/>
        </w:rPr>
        <w:t xml:space="preserve">basis points (bp)</w:t>
      </w:r>
      <w:r>
        <w:t xml:space="preserve">, where 100bp = 1.00%.</w:t>
      </w:r>
      <w:r>
        <w:t xml:space="preserve"> </w:t>
      </w:r>
      <w:r>
        <w:t xml:space="preserve">“</w:t>
      </w:r>
      <w:r>
        <w:t xml:space="preserve">155bp over SOFR</w:t>
      </w:r>
      <w:r>
        <w:t xml:space="preserve">”</w:t>
      </w:r>
      <w:r>
        <w:t xml:space="preserve"> </w:t>
      </w:r>
      <w:r>
        <w:t xml:space="preserve">means the loan costs SOFR + 1.55%.</w:t>
      </w:r>
    </w:p>
    <w:p>
      <w:pPr>
        <w:pStyle w:val="BodyText"/>
      </w:pPr>
      <w:r>
        <w:rPr>
          <w:b/>
        </w:rPr>
        <w:t xml:space="preserve">The benchmark / reference rates</w:t>
      </w:r>
      <w:r>
        <w:t xml:space="preserve"> </w:t>
      </w:r>
      <w:r>
        <w:t xml:space="preserve">(you’ll see a different one per currency):</w:t>
      </w:r>
      <w:r>
        <w:t xml:space="preserve"> </w:t>
      </w:r>
      <w:r>
        <w:t xml:space="preserve">-</w:t>
      </w:r>
      <w:r>
        <w:t xml:space="preserve"> </w:t>
      </w:r>
      <w:r>
        <w:rPr>
          <w:b/>
        </w:rPr>
        <w:t xml:space="preserve">SOFR</w:t>
      </w:r>
      <w:r>
        <w:t xml:space="preserve"> </w:t>
      </w:r>
      <w:r>
        <w:t xml:space="preserve">— US dollar (Secured Overnight Financing Rate)</w:t>
      </w:r>
      <w:r>
        <w:t xml:space="preserve"> </w:t>
      </w:r>
      <w:r>
        <w:t xml:space="preserve">-</w:t>
      </w:r>
      <w:r>
        <w:t xml:space="preserve"> </w:t>
      </w:r>
      <w:r>
        <w:rPr>
          <w:b/>
        </w:rPr>
        <w:t xml:space="preserve">Taibor</w:t>
      </w:r>
      <w:r>
        <w:t xml:space="preserve"> </w:t>
      </w:r>
      <w:r>
        <w:t xml:space="preserve">— Taiwan dollar interbank rate;</w:t>
      </w:r>
      <w:r>
        <w:t xml:space="preserve"> </w:t>
      </w:r>
      <w:r>
        <w:rPr>
          <w:b/>
        </w:rPr>
        <w:t xml:space="preserve">Taifx</w:t>
      </w:r>
      <w:r>
        <w:t xml:space="preserve"> </w:t>
      </w:r>
      <w:r>
        <w:t xml:space="preserve">— Taiwan’s USD-funding reference</w:t>
      </w:r>
      <w:r>
        <w:t xml:space="preserve"> </w:t>
      </w:r>
      <w:r>
        <w:t xml:space="preserve">-</w:t>
      </w:r>
      <w:r>
        <w:t xml:space="preserve"> </w:t>
      </w:r>
      <w:r>
        <w:rPr>
          <w:b/>
        </w:rPr>
        <w:t xml:space="preserve">Hibor</w:t>
      </w:r>
      <w:r>
        <w:t xml:space="preserve"> </w:t>
      </w:r>
      <w:r>
        <w:t xml:space="preserve">— Hong Kong dollar;</w:t>
      </w:r>
      <w:r>
        <w:t xml:space="preserve"> </w:t>
      </w:r>
      <w:r>
        <w:rPr>
          <w:b/>
        </w:rPr>
        <w:t xml:space="preserve">Euribor</w:t>
      </w:r>
      <w:r>
        <w:t xml:space="preserve"> </w:t>
      </w:r>
      <w:r>
        <w:t xml:space="preserve">— euro;</w:t>
      </w:r>
      <w:r>
        <w:t xml:space="preserve"> </w:t>
      </w:r>
      <w:r>
        <w:rPr>
          <w:b/>
        </w:rPr>
        <w:t xml:space="preserve">Klibor</w:t>
      </w:r>
      <w:r>
        <w:t xml:space="preserve"> </w:t>
      </w:r>
      <w:r>
        <w:t xml:space="preserve">— Malaysian ringgit;</w:t>
      </w:r>
      <w:r>
        <w:t xml:space="preserve"> </w:t>
      </w:r>
      <w:r>
        <w:rPr>
          <w:b/>
        </w:rPr>
        <w:t xml:space="preserve">Tonar</w:t>
      </w:r>
      <w:r>
        <w:t xml:space="preserve"> </w:t>
      </w:r>
      <w:r>
        <w:t xml:space="preserve">— Japanese yen;</w:t>
      </w:r>
      <w:r>
        <w:t xml:space="preserve"> </w:t>
      </w:r>
      <w:r>
        <w:rPr>
          <w:b/>
        </w:rPr>
        <w:t xml:space="preserve">BKBM</w:t>
      </w:r>
      <w:r>
        <w:t xml:space="preserve"> </w:t>
      </w:r>
      <w:r>
        <w:t xml:space="preserve">— NZ dollar;</w:t>
      </w:r>
      <w:r>
        <w:t xml:space="preserve"> </w:t>
      </w:r>
      <w:r>
        <w:rPr>
          <w:b/>
        </w:rPr>
        <w:t xml:space="preserve">BBSY</w:t>
      </w:r>
      <w:r>
        <w:t xml:space="preserve"> </w:t>
      </w:r>
      <w:r>
        <w:t xml:space="preserve">— Australian dollar</w:t>
      </w:r>
      <w:r>
        <w:t xml:space="preserve"> </w:t>
      </w:r>
      <w:r>
        <w:t xml:space="preserve">- (You’ll also see</w:t>
      </w:r>
      <w:r>
        <w:t xml:space="preserve"> </w:t>
      </w:r>
      <w:r>
        <w:t xml:space="preserve">“</w:t>
      </w:r>
      <w:r>
        <w:t xml:space="preserve">post office rate</w:t>
      </w:r>
      <w:r>
        <w:t xml:space="preserve">”</w:t>
      </w:r>
      <w:r>
        <w:t xml:space="preserve"> </w:t>
      </w:r>
      <w:r>
        <w:t xml:space="preserve">in Taiwan property deals — the Chunghwa Post savings rate, a common local benchmark.)</w:t>
      </w:r>
    </w:p>
    <w:p>
      <w:pPr>
        <w:pStyle w:val="BodyText"/>
      </w:pPr>
      <w:r>
        <w:rPr>
          <w:b/>
        </w:rPr>
        <w:t xml:space="preserve">All-in pricing.</w:t>
      </w:r>
      <w:r>
        <w:t xml:space="preserve"> </w:t>
      </w:r>
      <w:r>
        <w:t xml:space="preserve">The borrower’s</w:t>
      </w:r>
      <w:r>
        <w:t xml:space="preserve"> </w:t>
      </w:r>
      <w:r>
        <w:rPr>
          <w:i/>
        </w:rPr>
        <w:t xml:space="preserve">total</w:t>
      </w:r>
      <w:r>
        <w:t xml:space="preserve"> </w:t>
      </w:r>
      <w:r>
        <w:t xml:space="preserve">effective cost to a lender — the margin</w:t>
      </w:r>
      <w:r>
        <w:t xml:space="preserve"> </w:t>
      </w:r>
      <w:r>
        <w:rPr>
          <w:b/>
        </w:rPr>
        <w:t xml:space="preserve">plus</w:t>
      </w:r>
      <w:r>
        <w:t xml:space="preserve"> </w:t>
      </w:r>
      <w:r>
        <w:t xml:space="preserve">the annualized upfront fee.</w:t>
      </w:r>
      <w:r>
        <w:t xml:space="preserve"> </w:t>
      </w:r>
      <w:r>
        <w:t xml:space="preserve">“</w:t>
      </w:r>
      <w:r>
        <w:t xml:space="preserve">Top-level all-in of 170bp</w:t>
      </w:r>
      <w:r>
        <w:t xml:space="preserve">”</w:t>
      </w:r>
      <w:r>
        <w:t xml:space="preserve"> </w:t>
      </w:r>
      <w:r>
        <w:t xml:space="preserve">is what the biggest-ticket banks earn.</w:t>
      </w:r>
    </w:p>
    <w:p>
      <w:pPr>
        <w:pStyle w:val="BodyText"/>
      </w:pPr>
      <w:r>
        <w:rPr>
          <w:b/>
        </w:rPr>
        <w:t xml:space="preserve">Upfront fee / participation fee.</w:t>
      </w:r>
      <w:r>
        <w:t xml:space="preserve"> </w:t>
      </w:r>
      <w:r>
        <w:t xml:space="preserve">A one-time fee paid to banks for joining, scaled by ticket size — bigger commitment, bigger fee and better title. (e.g.,</w:t>
      </w:r>
      <w:r>
        <w:t xml:space="preserve"> </w:t>
      </w:r>
      <w:r>
        <w:t xml:space="preserve">“</w:t>
      </w:r>
      <w:r>
        <w:t xml:space="preserve">Banks committing NT$500m+ earn 20bp.</w:t>
      </w:r>
      <w:r>
        <w:t xml:space="preserve">”</w:t>
      </w:r>
      <w:r>
        <w:t xml:space="preserve">)</w:t>
      </w:r>
    </w:p>
    <w:p>
      <w:pPr>
        <w:pStyle w:val="BodyText"/>
      </w:pPr>
      <w:r>
        <w:rPr>
          <w:b/>
        </w:rPr>
        <w:t xml:space="preserve">Interest rate floor.</w:t>
      </w:r>
      <w:r>
        <w:t xml:space="preserve"> </w:t>
      </w:r>
      <w:r>
        <w:t xml:space="preserve">A minimum rate the borrower pays even if the benchmark falls below it (e.g.,</w:t>
      </w:r>
      <w:r>
        <w:t xml:space="preserve"> </w:t>
      </w:r>
      <w:r>
        <w:t xml:space="preserve">“</w:t>
      </w:r>
      <w:r>
        <w:t xml:space="preserve">1.7% pretax floor</w:t>
      </w:r>
      <w:r>
        <w:t xml:space="preserve">”</w:t>
      </w:r>
      <w:r>
        <w:t xml:space="preserve">). Protects lender yield.</w:t>
      </w:r>
    </w:p>
    <w:p>
      <w:pPr>
        <w:pStyle w:val="BodyText"/>
      </w:pPr>
      <w:r>
        <w:rPr>
          <w:b/>
        </w:rPr>
        <w:t xml:space="preserve">Greenshoe / accordion.</w:t>
      </w:r>
      <w:r>
        <w:t xml:space="preserve"> </w:t>
      </w:r>
      <w:r>
        <w:t xml:space="preserve">Options to</w:t>
      </w:r>
      <w:r>
        <w:t xml:space="preserve"> </w:t>
      </w:r>
      <w:r>
        <w:rPr>
          <w:i/>
        </w:rPr>
        <w:t xml:space="preserve">increase</w:t>
      </w:r>
      <w:r>
        <w:t xml:space="preserve"> </w:t>
      </w:r>
      <w:r>
        <w:t xml:space="preserve">the loan size if demand is strong. A</w:t>
      </w:r>
      <w:r>
        <w:t xml:space="preserve"> </w:t>
      </w:r>
      <w:r>
        <w:t xml:space="preserve">“</w:t>
      </w:r>
      <w:r>
        <w:t xml:space="preserve">20% greenshoe</w:t>
      </w:r>
      <w:r>
        <w:t xml:space="preserve">”</w:t>
      </w:r>
      <w:r>
        <w:t xml:space="preserve"> </w:t>
      </w:r>
      <w:r>
        <w:t xml:space="preserve">lets the deal grow 20% beyond target.</w:t>
      </w:r>
    </w:p>
    <w:p>
      <w:pPr>
        <w:pStyle w:val="BodyText"/>
      </w:pPr>
      <w:r>
        <w:rPr>
          <w:b/>
        </w:rPr>
        <w:t xml:space="preserve">SLL = Sustainability-Linked Loan.</w:t>
      </w:r>
      <w:r>
        <w:t xml:space="preserve"> </w:t>
      </w:r>
      <w:r>
        <w:t xml:space="preserve">Pricing steps down (a few bp) if the borrower hits agreed ESG targets — e.g., green-loan disbursement goals. Foxconn’s and VPBank’s deals here are SLLs.</w:t>
      </w:r>
    </w:p>
    <w:p>
      <w:pPr>
        <w:pStyle w:val="BodyText"/>
      </w:pPr>
      <w:r>
        <w:rPr>
          <w:b/>
        </w:rPr>
        <w:t xml:space="preserve">Oversubscribed / upsized.</w:t>
      </w:r>
      <w:r>
        <w:t xml:space="preserve"> </w:t>
      </w:r>
      <w:r>
        <w:t xml:space="preserve">More bank demand than the borrower sought, so the deal is increased (e.g., SHKP’s loan grew from HK$5bn target to HK$20bn). A market-strength signal.</w:t>
      </w:r>
    </w:p>
    <w:p>
      <w:pPr>
        <w:pStyle w:val="BlockText"/>
      </w:pPr>
      <w:r>
        <w:rPr>
          <w:b/>
        </w:rPr>
        <w:t xml:space="preserve">Worked example — decoding Goldkey’s deal (page 3):</w:t>
      </w:r>
      <w:r>
        <w:t xml:space="preserve"> </w:t>
      </w:r>
      <w:r>
        <w:rPr>
          <w:i/>
        </w:rPr>
        <w:t xml:space="preserve">“</w:t>
      </w:r>
      <w:r>
        <w:rPr>
          <w:i/>
        </w:rPr>
        <w:t xml:space="preserve">NT$3bn three-year… Chang Hwa and Yuanta are MLABs… tranche A 55bp over Taibor, tranche B 50bp over Taifx… 1.7% floor… revolving… 20% greenshoe… banks committing NT$500m+ earn 20bp.</w:t>
      </w:r>
      <w:r>
        <w:rPr>
          <w:i/>
        </w:rPr>
        <w:t xml:space="preserve">”</w:t>
      </w:r>
      <w:r>
        <w:t xml:space="preserve"> </w:t>
      </w:r>
      <w:r>
        <w:t xml:space="preserve">Translation: a small Taiwanese memory-chip designer is raising NT</w:t>
      </w:r>
      <m:oMath>
        <m:r>
          <m:t>3</m:t>
        </m:r>
        <m:r>
          <m:t>b</m:t>
        </m:r>
        <m:r>
          <m:t>n</m:t>
        </m:r>
        <m:r>
          <m:t>f</m:t>
        </m:r>
        <m:r>
          <m:t>o</m:t>
        </m:r>
        <m:r>
          <m:t>r</m:t>
        </m:r>
        <m:r>
          <m:t>t</m:t>
        </m:r>
        <m:r>
          <m:t>h</m:t>
        </m:r>
        <m:r>
          <m:t>r</m:t>
        </m:r>
        <m:r>
          <m:t>e</m:t>
        </m:r>
        <m:r>
          <m:t>e</m:t>
        </m:r>
        <m:r>
          <m:t>y</m:t>
        </m:r>
        <m:r>
          <m:t>e</m:t>
        </m:r>
        <m:r>
          <m:t>a</m:t>
        </m:r>
        <m:r>
          <m:t>r</m:t>
        </m:r>
        <m:r>
          <m:t>s</m:t>
        </m:r>
        <m:r>
          <m:t>,</m:t>
        </m:r>
        <m:r>
          <m:t>i</m:t>
        </m:r>
        <m:r>
          <m:t>t</m:t>
        </m:r>
        <m:r>
          <m:t>s</m:t>
        </m:r>
        <m:r>
          <m:t>f</m:t>
        </m:r>
        <m:r>
          <m:t>i</m:t>
        </m:r>
        <m:r>
          <m:t>r</m:t>
        </m:r>
        <m:r>
          <m:t>s</m:t>
        </m:r>
        <m:r>
          <m:t>t</m:t>
        </m:r>
        <m:r>
          <m:t>−</m:t>
        </m:r>
        <m:r>
          <m:t>e</m:t>
        </m:r>
        <m:r>
          <m:t>v</m:t>
        </m:r>
        <m:r>
          <m:t>e</m:t>
        </m:r>
        <m:r>
          <m:t>r</m:t>
        </m:r>
        <m:r>
          <m:t>s</m:t>
        </m:r>
        <m:r>
          <m:t>y</m:t>
        </m:r>
        <m:r>
          <m:t>n</m:t>
        </m:r>
        <m:r>
          <m:t>d</m:t>
        </m:r>
        <m:r>
          <m:t>i</m:t>
        </m:r>
        <m:r>
          <m:t>c</m:t>
        </m:r>
        <m:r>
          <m:t>a</m:t>
        </m:r>
        <m:r>
          <m:t>t</m:t>
        </m:r>
        <m:r>
          <m:t>e</m:t>
        </m:r>
        <m:r>
          <m:t>d</m:t>
        </m:r>
        <m:r>
          <m:t>l</m:t>
        </m:r>
        <m:r>
          <m:t>o</m:t>
        </m:r>
        <m:r>
          <m:t>a</m:t>
        </m:r>
        <m:r>
          <m:t>n</m:t>
        </m:r>
        <m:r>
          <m:t>.</m:t>
        </m:r>
        <m:r>
          <m:t>T</m:t>
        </m:r>
        <m:r>
          <m:t>w</m:t>
        </m:r>
        <m:r>
          <m:t>o</m:t>
        </m:r>
        <m:r>
          <m:t>T</m:t>
        </m:r>
        <m:r>
          <m:t>a</m:t>
        </m:r>
        <m:r>
          <m:t>i</m:t>
        </m:r>
        <m:r>
          <m:t>w</m:t>
        </m:r>
        <m:r>
          <m:t>a</m:t>
        </m:r>
        <m:r>
          <m:t>n</m:t>
        </m:r>
        <m:r>
          <m:t>e</m:t>
        </m:r>
        <m:r>
          <m:t>s</m:t>
        </m:r>
        <m:r>
          <m:t>e</m:t>
        </m:r>
        <m:r>
          <m:t>b</m:t>
        </m:r>
        <m:r>
          <m:t>a</m:t>
        </m:r>
        <m:r>
          <m:t>n</m:t>
        </m:r>
        <m:r>
          <m:t>k</m:t>
        </m:r>
        <m:r>
          <m:t>s</m:t>
        </m:r>
        <m:r>
          <m:t>a</m:t>
        </m:r>
        <m:r>
          <m:t>r</m:t>
        </m:r>
        <m:r>
          <m:t>e</m:t>
        </m:r>
        <m:r>
          <m:t>l</m:t>
        </m:r>
        <m:r>
          <m:t>e</m:t>
        </m:r>
        <m:r>
          <m:t>a</m:t>
        </m:r>
        <m:r>
          <m:t>d</m:t>
        </m:r>
        <m:r>
          <m:t>i</m:t>
        </m:r>
        <m:r>
          <m:t>n</m:t>
        </m:r>
        <m:r>
          <m:t>g</m:t>
        </m:r>
        <m:r>
          <m:t>i</m:t>
        </m:r>
        <m:r>
          <m:t>t</m:t>
        </m:r>
        <m:r>
          <m:t>.</m:t>
        </m:r>
        <m:r>
          <m:t>Y</m:t>
        </m:r>
        <m:r>
          <m:t>o</m:t>
        </m:r>
        <m:r>
          <m:t>u</m:t>
        </m:r>
        <m:r>
          <m:t>c</m:t>
        </m:r>
        <m:r>
          <m:t>a</m:t>
        </m:r>
        <m:r>
          <m:t>n</m:t>
        </m:r>
        <m:r>
          <m:t>t</m:t>
        </m:r>
        <m:r>
          <m:t>a</m:t>
        </m:r>
        <m:r>
          <m:t>k</m:t>
        </m:r>
        <m:r>
          <m:t>e</m:t>
        </m:r>
        <m:r>
          <m:t>t</m:t>
        </m:r>
        <m:r>
          <m:t>h</m:t>
        </m:r>
        <m:r>
          <m:t>e</m:t>
        </m:r>
        <m:r>
          <m:t>N</m:t>
        </m:r>
        <m:r>
          <m:t>T</m:t>
        </m:r>
      </m:oMath>
      <w:r>
        <w:t xml:space="preserve"> </w:t>
      </w:r>
      <w:r>
        <w:t xml:space="preserve">slice (priced over Taibor) or the USD slice (over Taifx); the rate can’t drop below 1.7%; it’s a revolving facility that can grow 20% if popular; and if you put in NT$500m or more you pocket a 0.20% upfront fee.</w:t>
      </w:r>
      <w:r>
        <w:t xml:space="preserve"> </w:t>
      </w:r>
      <w:r>
        <w:rPr>
          <w:b/>
        </w:rPr>
        <w:t xml:space="preserve">That one entry tells you the borrower, purpose, size, tenor, leads, pricing, structure, and incentives.</w:t>
      </w:r>
    </w:p>
    <w:p>
      <w:r>
        <w:pict>
          <v:rect style="width:0;height:1.5pt" o:hralign="center" o:hrstd="t" o:hr="t"/>
        </w:pict>
      </w:r>
    </w:p>
    <w:p>
      <w:pPr>
        <w:pStyle w:val="Heading2"/>
      </w:pPr>
      <w:bookmarkStart w:id="23" w:name="X4c90aeead3ead9e0a3bc9895116db77d8845bb0"/>
      <w:r>
        <w:t xml:space="preserve">3. Theme deep dive — the AI boom and Taiwan’s lending surge</w:t>
      </w:r>
      <w:bookmarkEnd w:id="23"/>
    </w:p>
    <w:p>
      <w:pPr>
        <w:pStyle w:val="Heading3"/>
      </w:pPr>
      <w:bookmarkStart w:id="24" w:name="X22be1e546a024bc9ae7e58d43b12c70f55f0571"/>
      <w:r>
        <w:t xml:space="preserve">3.1 Why Taiwan feels it</w:t>
      </w:r>
      <w:r>
        <w:t xml:space="preserve"> </w:t>
      </w:r>
      <w:r>
        <w:t xml:space="preserve">“</w:t>
      </w:r>
      <w:r>
        <w:t xml:space="preserve">earlier and harder than anyone</w:t>
      </w:r>
      <w:r>
        <w:t xml:space="preserve">”</w:t>
      </w:r>
      <w:bookmarkEnd w:id="24"/>
    </w:p>
    <w:p>
      <w:pPr>
        <w:pStyle w:val="FirstParagraph"/>
      </w:pPr>
      <w:r>
        <w:t xml:space="preserve">Taiwan manufactures the physical guts of the AI build-out: advanced logic chips (TSMC), advanced packaging that stitches chips together (ASE and TSMC), memory, components, servers, and the contract assembly of finished systems (Foxconn). When Nvidia’s Jensen Huang says demand</w:t>
      </w:r>
      <w:r>
        <w:t xml:space="preserve"> </w:t>
      </w:r>
      <w:r>
        <w:t xml:space="preserve">“</w:t>
      </w:r>
      <w:r>
        <w:t xml:space="preserve">is going to persist for several years</w:t>
      </w:r>
      <w:r>
        <w:t xml:space="preserve">”</w:t>
      </w:r>
      <w:r>
        <w:t xml:space="preserve"> </w:t>
      </w:r>
      <w:r>
        <w:t xml:space="preserve">and</w:t>
      </w:r>
      <w:r>
        <w:t xml:space="preserve"> </w:t>
      </w:r>
      <w:r>
        <w:t xml:space="preserve">“</w:t>
      </w:r>
      <w:r>
        <w:t xml:space="preserve">everything’s in short supply,</w:t>
      </w:r>
      <w:r>
        <w:t xml:space="preserve">”</w:t>
      </w:r>
      <w:r>
        <w:t xml:space="preserve"> </w:t>
      </w:r>
      <w:r>
        <w:t xml:space="preserve">the first place that shortage turns into</w:t>
      </w:r>
      <w:r>
        <w:t xml:space="preserve"> </w:t>
      </w:r>
      <w:r>
        <w:rPr>
          <w:b/>
        </w:rPr>
        <w:t xml:space="preserve">capex</w:t>
      </w:r>
      <w:r>
        <w:t xml:space="preserve"> </w:t>
      </w:r>
      <w:r>
        <w:t xml:space="preserve">— and capex into</w:t>
      </w:r>
      <w:r>
        <w:t xml:space="preserve"> </w:t>
      </w:r>
      <w:r>
        <w:rPr>
          <w:b/>
        </w:rPr>
        <w:t xml:space="preserve">borrowing</w:t>
      </w:r>
      <w:r>
        <w:t xml:space="preserve"> </w:t>
      </w:r>
      <w:r>
        <w:t xml:space="preserve">— is Taiwan. A Taiwanese banker in the report put it plainly:</w:t>
      </w:r>
      <w:r>
        <w:t xml:space="preserve"> </w:t>
      </w:r>
      <w:r>
        <w:rPr>
          <w:i/>
        </w:rPr>
        <w:t xml:space="preserve">“</w:t>
      </w:r>
      <w:r>
        <w:rPr>
          <w:i/>
        </w:rPr>
        <w:t xml:space="preserve">Taiwan sits at the heart of the global AI supply chain, so we feel the boom earlier and harder than anyone. If Jensen says it will last, the companies will keep borrowing, round after round.</w:t>
      </w:r>
      <w:r>
        <w:rPr>
          <w:i/>
        </w:rPr>
        <w:t xml:space="preserve">”</w:t>
      </w:r>
    </w:p>
    <w:p>
      <w:pPr>
        <w:pStyle w:val="BodyText"/>
      </w:pPr>
      <w:r>
        <w:t xml:space="preserve">That is the core dynamic:</w:t>
      </w:r>
      <w:r>
        <w:t xml:space="preserve"> </w:t>
      </w:r>
      <w:r>
        <w:rPr>
          <w:b/>
        </w:rPr>
        <w:t xml:space="preserve">AI demand → supply shortage → capacity expansion → wave after wave of loans.</w:t>
      </w:r>
    </w:p>
    <w:p>
      <w:pPr>
        <w:pStyle w:val="Heading3"/>
      </w:pPr>
      <w:bookmarkStart w:id="25" w:name="the-borrowing-wave-by-whos-drawing-it"/>
      <w:r>
        <w:t xml:space="preserve">3.2 The borrowing wave, by who’s drawing it</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Borrower</w:t>
            </w:r>
          </w:p>
        </w:tc>
        <w:tc>
          <w:tcPr>
            <w:tcBorders>
              <w:bottom w:val="single"/>
            </w:tcBorders>
            <w:vAlign w:val="bottom"/>
          </w:tcPr>
          <w:p>
            <w:pPr>
              <w:pStyle w:val="Compact"/>
              <w:jc w:val="left"/>
            </w:pPr>
            <w:r>
              <w:t xml:space="preserve">Role in the chain</w:t>
            </w:r>
          </w:p>
        </w:tc>
        <w:tc>
          <w:tcPr>
            <w:tcBorders>
              <w:bottom w:val="single"/>
            </w:tcBorders>
            <w:vAlign w:val="bottom"/>
          </w:tcPr>
          <w:p>
            <w:pPr>
              <w:pStyle w:val="Compact"/>
              <w:jc w:val="left"/>
            </w:pPr>
            <w:r>
              <w:t xml:space="preserve">Deal in the report</w:t>
            </w:r>
          </w:p>
        </w:tc>
        <w:tc>
          <w:tcPr>
            <w:tcBorders>
              <w:bottom w:val="single"/>
            </w:tcBorders>
            <w:vAlign w:val="bottom"/>
          </w:tcPr>
          <w:p>
            <w:pPr>
              <w:pStyle w:val="Compact"/>
              <w:jc w:val="left"/>
            </w:pPr>
            <w:r>
              <w:t xml:space="preserve">What it signals</w:t>
            </w:r>
          </w:p>
        </w:tc>
      </w:tr>
      <w:tr>
        <w:tc>
          <w:p>
            <w:pPr>
              <w:pStyle w:val="Compact"/>
              <w:jc w:val="left"/>
            </w:pPr>
            <w:r>
              <w:rPr>
                <w:b/>
              </w:rPr>
              <w:t xml:space="preserve">ASE Technology</w:t>
            </w:r>
            <w:r>
              <w:t xml:space="preserve"> </w:t>
            </w:r>
            <w:r>
              <w:t xml:space="preserve">(日月光投控)</w:t>
            </w:r>
          </w:p>
        </w:tc>
        <w:tc>
          <w:p>
            <w:pPr>
              <w:pStyle w:val="Compact"/>
              <w:jc w:val="left"/>
            </w:pPr>
            <w:r>
              <w:t xml:space="preserve">World’s #1 chip packaging &amp; testing (OSAT)</w:t>
            </w:r>
          </w:p>
        </w:tc>
        <w:tc>
          <w:p>
            <w:pPr>
              <w:pStyle w:val="Compact"/>
              <w:jc w:val="left"/>
            </w:pPr>
            <w:r>
              <w:t xml:space="preserve">Sounding out</w:t>
            </w:r>
            <w:r>
              <w:t xml:space="preserve"> </w:t>
            </w:r>
            <w:r>
              <w:rPr>
                <w:b/>
              </w:rPr>
              <w:t xml:space="preserve">NT$80bn (US$2.52bn)</w:t>
            </w:r>
            <w:r>
              <w:t xml:space="preserve">, two facilities</w:t>
            </w:r>
          </w:p>
        </w:tc>
        <w:tc>
          <w:p>
            <w:pPr>
              <w:pStyle w:val="Compact"/>
              <w:jc w:val="left"/>
            </w:pPr>
            <w:r>
              <w:t xml:space="preserve">The single biggest draw; funds a record ~US$7bn 2026 capex</w:t>
            </w:r>
          </w:p>
        </w:tc>
      </w:tr>
      <w:tr>
        <w:tc>
          <w:p>
            <w:pPr>
              <w:pStyle w:val="Compact"/>
              <w:jc w:val="left"/>
            </w:pPr>
            <w:r>
              <w:rPr>
                <w:b/>
              </w:rPr>
              <w:t xml:space="preserve">Macronix</w:t>
            </w:r>
            <w:r>
              <w:t xml:space="preserve"> </w:t>
            </w:r>
            <w:r>
              <w:t xml:space="preserve">(旺宏)</w:t>
            </w:r>
          </w:p>
        </w:tc>
        <w:tc>
          <w:p>
            <w:pPr>
              <w:pStyle w:val="Compact"/>
              <w:jc w:val="left"/>
            </w:pPr>
            <w:r>
              <w:t xml:space="preserve">Commodity/NOR &amp; consumer memory</w:t>
            </w:r>
          </w:p>
        </w:tc>
        <w:tc>
          <w:p>
            <w:pPr>
              <w:pStyle w:val="Compact"/>
              <w:jc w:val="left"/>
            </w:pPr>
            <w:r>
              <w:rPr>
                <w:b/>
              </w:rPr>
              <w:t xml:space="preserve">NT$20bn</w:t>
            </w:r>
            <w:r>
              <w:t xml:space="preserve"> </w:t>
            </w:r>
            <w:r>
              <w:t xml:space="preserve">5y (Taiwan Cooperative Bank) + NT$6.7bn machinery plans</w:t>
            </w:r>
          </w:p>
        </w:tc>
        <w:tc>
          <w:p>
            <w:pPr>
              <w:pStyle w:val="Compact"/>
              <w:jc w:val="left"/>
            </w:pPr>
            <w:r>
              <w:t xml:space="preserve">“</w:t>
            </w:r>
            <w:r>
              <w:t xml:space="preserve">Walking dead</w:t>
            </w:r>
            <w:r>
              <w:t xml:space="preserve">”</w:t>
            </w:r>
            <w:r>
              <w:t xml:space="preserve"> </w:t>
            </w:r>
            <w:r>
              <w:t xml:space="preserve">to</w:t>
            </w:r>
            <w:r>
              <w:t xml:space="preserve"> </w:t>
            </w:r>
            <w:r>
              <w:t xml:space="preserve">“</w:t>
            </w:r>
            <w:r>
              <w:t xml:space="preserve">minting money</w:t>
            </w:r>
            <w:r>
              <w:t xml:space="preserve">”</w:t>
            </w:r>
            <w:r>
              <w:t xml:space="preserve"> </w:t>
            </w:r>
            <w:r>
              <w:t xml:space="preserve">— the turnaround poster child</w:t>
            </w:r>
          </w:p>
        </w:tc>
      </w:tr>
      <w:tr>
        <w:tc>
          <w:p>
            <w:pPr>
              <w:pStyle w:val="Compact"/>
              <w:jc w:val="left"/>
            </w:pPr>
            <w:r>
              <w:rPr>
                <w:b/>
              </w:rPr>
              <w:t xml:space="preserve">Phison Electronics</w:t>
            </w:r>
            <w:r>
              <w:t xml:space="preserve"> </w:t>
            </w:r>
            <w:r>
              <w:t xml:space="preserve">(群聯)</w:t>
            </w:r>
          </w:p>
        </w:tc>
        <w:tc>
          <w:p>
            <w:pPr>
              <w:pStyle w:val="Compact"/>
              <w:jc w:val="left"/>
            </w:pPr>
            <w:r>
              <w:t xml:space="preserve">NAND controller chips</w:t>
            </w:r>
          </w:p>
        </w:tc>
        <w:tc>
          <w:p>
            <w:pPr>
              <w:pStyle w:val="Compact"/>
              <w:jc w:val="left"/>
            </w:pPr>
            <w:r>
              <w:rPr>
                <w:b/>
              </w:rPr>
              <w:t xml:space="preserve">NT$12bn</w:t>
            </w:r>
            <w:r>
              <w:t xml:space="preserve"> </w:t>
            </w:r>
            <w:r>
              <w:t xml:space="preserve">3y debut loan +</w:t>
            </w:r>
            <w:r>
              <w:t xml:space="preserve"> </w:t>
            </w:r>
            <w:r>
              <w:rPr>
                <w:b/>
              </w:rPr>
              <w:t xml:space="preserve">US$800m</w:t>
            </w:r>
            <w:r>
              <w:t xml:space="preserve"> </w:t>
            </w:r>
            <w:r>
              <w:t xml:space="preserve">convertible bond</w:t>
            </w:r>
          </w:p>
        </w:tc>
        <w:tc>
          <w:p>
            <w:pPr>
              <w:pStyle w:val="Compact"/>
              <w:jc w:val="left"/>
            </w:pPr>
            <w:r>
              <w:t xml:space="preserve">Q1 profit</w:t>
            </w:r>
            <w:r>
              <w:t xml:space="preserve"> </w:t>
            </w:r>
            <w:r>
              <w:rPr>
                <w:b/>
              </w:rPr>
              <w:t xml:space="preserve">+1,200% YoY</w:t>
            </w:r>
            <w:r>
              <w:t xml:space="preserve">; first-time borrower</w:t>
            </w:r>
          </w:p>
        </w:tc>
      </w:tr>
      <w:tr>
        <w:tc>
          <w:p>
            <w:pPr>
              <w:pStyle w:val="Compact"/>
              <w:jc w:val="left"/>
            </w:pPr>
            <w:r>
              <w:rPr>
                <w:b/>
              </w:rPr>
              <w:t xml:space="preserve">Adata</w:t>
            </w:r>
            <w:r>
              <w:t xml:space="preserve"> </w:t>
            </w:r>
            <w:r>
              <w:t xml:space="preserve">(威剛)</w:t>
            </w:r>
          </w:p>
        </w:tc>
        <w:tc>
          <w:p>
            <w:pPr>
              <w:pStyle w:val="Compact"/>
              <w:jc w:val="left"/>
            </w:pPr>
            <w:r>
              <w:t xml:space="preserve">Memory modules</w:t>
            </w:r>
          </w:p>
        </w:tc>
        <w:tc>
          <w:p>
            <w:pPr>
              <w:pStyle w:val="Compact"/>
              <w:jc w:val="left"/>
            </w:pPr>
            <w:r>
              <w:rPr>
                <w:b/>
              </w:rPr>
              <w:t xml:space="preserve">NT$12bn</w:t>
            </w:r>
            <w:r>
              <w:t xml:space="preserve"> </w:t>
            </w:r>
            <w:r>
              <w:t xml:space="preserve">5y (April)</w:t>
            </w:r>
          </w:p>
        </w:tc>
        <w:tc>
          <w:p>
            <w:pPr>
              <w:pStyle w:val="Compact"/>
              <w:jc w:val="left"/>
            </w:pPr>
            <w:r>
              <w:t xml:space="preserve">Record Q1 profit NT$9.5bn,</w:t>
            </w:r>
            <w:r>
              <w:t xml:space="preserve"> </w:t>
            </w:r>
            <w:r>
              <w:rPr>
                <w:b/>
              </w:rPr>
              <w:t xml:space="preserve">+17x YoY</w:t>
            </w:r>
          </w:p>
        </w:tc>
      </w:tr>
      <w:tr>
        <w:tc>
          <w:p>
            <w:pPr>
              <w:pStyle w:val="Compact"/>
              <w:jc w:val="left"/>
            </w:pPr>
            <w:r>
              <w:rPr>
                <w:b/>
              </w:rPr>
              <w:t xml:space="preserve">Goldkey</w:t>
            </w:r>
            <w:r>
              <w:t xml:space="preserve"> </w:t>
            </w:r>
            <w:r>
              <w:t xml:space="preserve">(凌航)</w:t>
            </w:r>
          </w:p>
        </w:tc>
        <w:tc>
          <w:p>
            <w:pPr>
              <w:pStyle w:val="Compact"/>
              <w:jc w:val="left"/>
            </w:pPr>
            <w:r>
              <w:t xml:space="preserve">Memory-chip designer</w:t>
            </w:r>
          </w:p>
        </w:tc>
        <w:tc>
          <w:p>
            <w:pPr>
              <w:pStyle w:val="Compact"/>
              <w:jc w:val="left"/>
            </w:pPr>
            <w:r>
              <w:rPr>
                <w:b/>
              </w:rPr>
              <w:t xml:space="preserve">NT$3bn</w:t>
            </w:r>
            <w:r>
              <w:t xml:space="preserve"> </w:t>
            </w:r>
            <w:r>
              <w:t xml:space="preserve">3y debut</w:t>
            </w:r>
          </w:p>
        </w:tc>
        <w:tc>
          <w:p>
            <w:pPr>
              <w:pStyle w:val="Compact"/>
              <w:jc w:val="left"/>
            </w:pPr>
            <w:r>
              <w:t xml:space="preserve">Even small designers can now raise debut syndications</w:t>
            </w:r>
          </w:p>
        </w:tc>
      </w:tr>
      <w:tr>
        <w:tc>
          <w:p>
            <w:pPr>
              <w:pStyle w:val="Compact"/>
              <w:jc w:val="left"/>
            </w:pPr>
            <w:r>
              <w:rPr>
                <w:b/>
              </w:rPr>
              <w:t xml:space="preserve">Giga Computing</w:t>
            </w:r>
            <w:r>
              <w:t xml:space="preserve"> </w:t>
            </w:r>
            <w:r>
              <w:t xml:space="preserve">(techniker arm of Gigabyte)</w:t>
            </w:r>
          </w:p>
        </w:tc>
        <w:tc>
          <w:p>
            <w:pPr>
              <w:pStyle w:val="Compact"/>
              <w:jc w:val="left"/>
            </w:pPr>
            <w:r>
              <w:t xml:space="preserve">AI servers / data-center hardware</w:t>
            </w:r>
          </w:p>
        </w:tc>
        <w:tc>
          <w:p>
            <w:pPr>
              <w:pStyle w:val="Compact"/>
              <w:jc w:val="left"/>
            </w:pPr>
            <w:r>
              <w:rPr>
                <w:b/>
              </w:rPr>
              <w:t xml:space="preserve">NT$35bn</w:t>
            </w:r>
            <w:r>
              <w:t xml:space="preserve"> </w:t>
            </w:r>
            <w:r>
              <w:t xml:space="preserve">5y debut (+ parent US$500m CB)</w:t>
            </w:r>
          </w:p>
        </w:tc>
        <w:tc>
          <w:p>
            <w:pPr>
              <w:pStyle w:val="Compact"/>
              <w:jc w:val="left"/>
            </w:pPr>
            <w:r>
              <w:t xml:space="preserve">The wave has reached the server box-builders</w:t>
            </w:r>
          </w:p>
        </w:tc>
      </w:tr>
      <w:tr>
        <w:tc>
          <w:p>
            <w:pPr>
              <w:pStyle w:val="Compact"/>
              <w:jc w:val="left"/>
            </w:pPr>
            <w:r>
              <w:rPr>
                <w:b/>
              </w:rPr>
              <w:t xml:space="preserve">WT Microelectronics</w:t>
            </w:r>
            <w:r>
              <w:t xml:space="preserve"> </w:t>
            </w:r>
            <w:r>
              <w:t xml:space="preserve">(文曄)</w:t>
            </w:r>
          </w:p>
        </w:tc>
        <w:tc>
          <w:p>
            <w:pPr>
              <w:pStyle w:val="Compact"/>
              <w:jc w:val="left"/>
            </w:pPr>
            <w:r>
              <w:t xml:space="preserve">Largest Taiwan chip distributor</w:t>
            </w:r>
          </w:p>
        </w:tc>
        <w:tc>
          <w:p>
            <w:pPr>
              <w:pStyle w:val="Compact"/>
              <w:jc w:val="left"/>
            </w:pPr>
            <w:r>
              <w:rPr>
                <w:b/>
              </w:rPr>
              <w:t xml:space="preserve">NT$36bn</w:t>
            </w:r>
            <w:r>
              <w:t xml:space="preserve"> </w:t>
            </w:r>
            <w:r>
              <w:t xml:space="preserve">loans (April)</w:t>
            </w:r>
          </w:p>
        </w:tc>
        <w:tc>
          <w:p>
            <w:pPr>
              <w:pStyle w:val="Compact"/>
              <w:jc w:val="left"/>
            </w:pPr>
            <w:r>
              <w:t xml:space="preserve">Even distribution/logistics needs more working capital</w:t>
            </w:r>
          </w:p>
        </w:tc>
      </w:tr>
      <w:tr>
        <w:tc>
          <w:p>
            <w:pPr>
              <w:pStyle w:val="Compact"/>
              <w:jc w:val="left"/>
            </w:pPr>
            <w:r>
              <w:rPr>
                <w:b/>
              </w:rPr>
              <w:t xml:space="preserve">Hon Hai / Foxconn</w:t>
            </w:r>
            <w:r>
              <w:t xml:space="preserve"> </w:t>
            </w:r>
            <w:r>
              <w:t xml:space="preserve">(鴻海)</w:t>
            </w:r>
          </w:p>
        </w:tc>
        <w:tc>
          <w:p>
            <w:pPr>
              <w:pStyle w:val="Compact"/>
              <w:jc w:val="left"/>
            </w:pPr>
            <w:r>
              <w:t xml:space="preserve">World’s #1 contract electronics maker</w:t>
            </w:r>
          </w:p>
        </w:tc>
        <w:tc>
          <w:p>
            <w:pPr>
              <w:pStyle w:val="Compact"/>
              <w:jc w:val="left"/>
            </w:pPr>
            <w:r>
              <w:rPr>
                <w:b/>
              </w:rPr>
              <w:t xml:space="preserve">NT$36bn</w:t>
            </w:r>
            <w:r>
              <w:t xml:space="preserve"> </w:t>
            </w:r>
            <w:r>
              <w:t xml:space="preserve">3y sustainability-linked loan,</w:t>
            </w:r>
            <w:r>
              <w:t xml:space="preserve"> </w:t>
            </w:r>
            <w:r>
              <w:rPr>
                <w:b/>
              </w:rPr>
              <w:t xml:space="preserve">14 banks</w:t>
            </w:r>
            <w:r>
              <w:t xml:space="preserve">, market debut</w:t>
            </w:r>
          </w:p>
        </w:tc>
        <w:tc>
          <w:p>
            <w:pPr>
              <w:pStyle w:val="Compact"/>
              <w:jc w:val="left"/>
            </w:pPr>
            <w:r>
              <w:t xml:space="preserve">Famously cash-rich — and</w:t>
            </w:r>
            <w:r>
              <w:t xml:space="preserve"> </w:t>
            </w:r>
            <w:r>
              <w:rPr>
                <w:i/>
              </w:rPr>
              <w:t xml:space="preserve">still</w:t>
            </w:r>
            <w:r>
              <w:t xml:space="preserve"> </w:t>
            </w:r>
            <w:r>
              <w:t xml:space="preserve">chose to borrow</w:t>
            </w:r>
          </w:p>
        </w:tc>
      </w:tr>
    </w:tbl>
    <w:p>
      <w:pPr>
        <w:pStyle w:val="BodyText"/>
      </w:pPr>
      <w:r>
        <w:t xml:space="preserve">The Foxconn point is worth dwelling on: a company with enormous cash made its</w:t>
      </w:r>
      <w:r>
        <w:t xml:space="preserve"> </w:t>
      </w:r>
      <w:r>
        <w:rPr>
          <w:b/>
        </w:rPr>
        <w:t xml:space="preserve">loan-market debut</w:t>
      </w:r>
      <w:r>
        <w:t xml:space="preserve"> </w:t>
      </w:r>
      <w:r>
        <w:t xml:space="preserve">anyway. When even the cash-rich tap the market, it tells you (a) capex needs are genuinely huge and (b) borrowing is cheap and strategic enough that holding cash is the costlier option.</w:t>
      </w:r>
    </w:p>
    <w:p>
      <w:pPr>
        <w:pStyle w:val="Heading3"/>
      </w:pPr>
      <w:bookmarkStart w:id="26" w:name="X7e07ef65c0f178e23c717941039e91d18f9cb9f"/>
      <w:r>
        <w:t xml:space="preserve">3.3 The memory super-cycle — the most striking sub-theme</w:t>
      </w:r>
      <w:bookmarkEnd w:id="26"/>
    </w:p>
    <w:p>
      <w:pPr>
        <w:pStyle w:val="FirstParagraph"/>
      </w:pPr>
      <w:r>
        <w:t xml:space="preserve">The most counter-intuitive part of the story:</w:t>
      </w:r>
      <w:r>
        <w:t xml:space="preserve"> </w:t>
      </w:r>
      <w:r>
        <w:rPr>
          <w:b/>
        </w:rPr>
        <w:t xml:space="preserve">commodity memory makers, long considered structural losers, are the breakout winners.</w:t>
      </w:r>
    </w:p>
    <w:p>
      <w:pPr>
        <w:pStyle w:val="BodyText"/>
      </w:pPr>
      <w:r>
        <w:t xml:space="preserve">Here’s the mechanism. The three memory giants — Samsung, SK Hynix, Micron — have redirected the bulk of their capacity toward</w:t>
      </w:r>
      <w:r>
        <w:t xml:space="preserve"> </w:t>
      </w:r>
      <w:r>
        <w:rPr>
          <w:b/>
        </w:rPr>
        <w:t xml:space="preserve">HBM (high-bandwidth memory)</w:t>
      </w:r>
      <w:r>
        <w:t xml:space="preserve">, the expensive stacked memory that sits next to AI GPUs. By pouring wafers into HBM for data centers, they’ve</w:t>
      </w:r>
      <w:r>
        <w:t xml:space="preserve"> </w:t>
      </w:r>
      <w:r>
        <w:rPr>
          <w:b/>
        </w:rPr>
        <w:t xml:space="preserve">starved the market of conventional DRAM and NAND</w:t>
      </w:r>
      <w:r>
        <w:t xml:space="preserve">, sending prices vertical:</w:t>
      </w:r>
    </w:p>
    <w:p>
      <w:pPr>
        <w:numPr>
          <w:ilvl w:val="0"/>
          <w:numId w:val="1002"/>
        </w:numPr>
        <w:pStyle w:val="Compact"/>
      </w:pPr>
      <w:r>
        <w:rPr>
          <w:b/>
        </w:rPr>
        <w:t xml:space="preserve">Conventional DRAM contract prices rose ~93–98% in Q1 2026</w:t>
      </w:r>
      <w:r>
        <w:t xml:space="preserve"> </w:t>
      </w:r>
      <w:r>
        <w:t xml:space="preserve">vs the prior quarter (the report’s figure; corroborated by TrendForce/industry trackers showing record ~90–95% Q1 jumps).</w:t>
      </w:r>
    </w:p>
    <w:p>
      <w:pPr>
        <w:numPr>
          <w:ilvl w:val="0"/>
          <w:numId w:val="1002"/>
        </w:numPr>
        <w:pStyle w:val="Compact"/>
      </w:pPr>
      <w:r>
        <w:rPr>
          <w:b/>
        </w:rPr>
        <w:t xml:space="preserve">NAND flash is set to rise ~70–75% in Q2</w:t>
      </w:r>
      <w:r>
        <w:t xml:space="preserve"> </w:t>
      </w:r>
      <w:r>
        <w:t xml:space="preserve">vs Q1.</w:t>
      </w:r>
    </w:p>
    <w:p>
      <w:pPr>
        <w:numPr>
          <w:ilvl w:val="0"/>
          <w:numId w:val="1002"/>
        </w:numPr>
        <w:pStyle w:val="Compact"/>
      </w:pPr>
      <w:r>
        <w:t xml:space="preserve">Industry trackers put</w:t>
      </w:r>
      <w:r>
        <w:t xml:space="preserve"> </w:t>
      </w:r>
      <w:r>
        <w:rPr>
          <w:b/>
        </w:rPr>
        <w:t xml:space="preserve">DRAM, NAND and HBM all in their deepest supply deficits since 2011</w:t>
      </w:r>
      <w:r>
        <w:t xml:space="preserve">, with</w:t>
      </w:r>
      <w:r>
        <w:t xml:space="preserve"> </w:t>
      </w:r>
      <w:r>
        <w:rPr>
          <w:b/>
        </w:rPr>
        <w:t xml:space="preserve">HBM now consuming ~23% of all DRAM wafer output</w:t>
      </w:r>
      <w:r>
        <w:t xml:space="preserve"> </w:t>
      </w:r>
      <w:r>
        <w:t xml:space="preserve">(up from ~19% in 2025). Goldman Sachs expects the undersupply to</w:t>
      </w:r>
      <w:r>
        <w:t xml:space="preserve"> </w:t>
      </w:r>
      <w:r>
        <w:rPr>
          <w:b/>
        </w:rPr>
        <w:t xml:space="preserve">persist into 2027</w:t>
      </w:r>
      <w:r>
        <w:t xml:space="preserve">, since new fabs won’t come online in volume until late 2027–2028.</w:t>
      </w:r>
    </w:p>
    <w:p>
      <w:pPr>
        <w:pStyle w:val="FirstParagraph"/>
      </w:pPr>
      <w:r>
        <w:t xml:space="preserve">The financial whiplash this creates is extraordinary.</w:t>
      </w:r>
      <w:r>
        <w:t xml:space="preserve"> </w:t>
      </w:r>
      <w:r>
        <w:rPr>
          <w:b/>
        </w:rPr>
        <w:t xml:space="preserve">Macronix lost money for 10 straight quarters</w:t>
      </w:r>
      <w:r>
        <w:t xml:space="preserve">, then earned</w:t>
      </w:r>
      <w:r>
        <w:t xml:space="preserve"> </w:t>
      </w:r>
      <w:r>
        <w:rPr>
          <w:b/>
        </w:rPr>
        <w:t xml:space="preserve">NT$1.77bn in Q1 2026</w:t>
      </w:r>
      <w:r>
        <w:t xml:space="preserve"> </w:t>
      </w:r>
      <w:r>
        <w:t xml:space="preserve">(vs an NT$873m loss a year earlier) as gross margin leapt to</w:t>
      </w:r>
      <w:r>
        <w:t xml:space="preserve"> </w:t>
      </w:r>
      <w:r>
        <w:rPr>
          <w:b/>
        </w:rPr>
        <w:t xml:space="preserve">40.8%</w:t>
      </w:r>
      <w:r>
        <w:t xml:space="preserve"> </w:t>
      </w:r>
      <w:r>
        <w:t xml:space="preserve">from a 2025 average of</w:t>
      </w:r>
      <w:r>
        <w:t xml:space="preserve"> </w:t>
      </w:r>
      <w:r>
        <w:rPr>
          <w:b/>
        </w:rPr>
        <w:t xml:space="preserve">17.8%</w:t>
      </w:r>
      <w:r>
        <w:t xml:space="preserve">. That’s the kind of swing that turns a</w:t>
      </w:r>
      <w:r>
        <w:t xml:space="preserve"> </w:t>
      </w:r>
      <w:r>
        <w:t xml:space="preserve">“</w:t>
      </w:r>
      <w:r>
        <w:t xml:space="preserve">why are we still lending to them</w:t>
      </w:r>
      <w:r>
        <w:t xml:space="preserve">”</w:t>
      </w:r>
      <w:r>
        <w:t xml:space="preserve"> </w:t>
      </w:r>
      <w:r>
        <w:t xml:space="preserve">name into a competitive, multi-bank financing — almost overnight.</w:t>
      </w:r>
    </w:p>
    <w:p>
      <w:pPr>
        <w:pStyle w:val="BodyText"/>
      </w:pPr>
      <w:r>
        <w:rPr>
          <w:b/>
        </w:rPr>
        <w:t xml:space="preserve">Why this matters for a lender:</w:t>
      </w:r>
      <w:r>
        <w:t xml:space="preserve"> </w:t>
      </w:r>
      <w:r>
        <w:t xml:space="preserve">memory is the most violently cyclical part of semis. The upswing is real and is producing genuine cash flow and credit-worthy borrowers today. But the same companies were the</w:t>
      </w:r>
      <w:r>
        <w:t xml:space="preserve"> </w:t>
      </w:r>
      <w:r>
        <w:rPr>
          <w:i/>
        </w:rPr>
        <w:t xml:space="preserve">worst</w:t>
      </w:r>
      <w:r>
        <w:t xml:space="preserve"> </w:t>
      </w:r>
      <w:r>
        <w:t xml:space="preserve">credits in the room 18 months ago. Lending into the top of a memory cycle is the single most important credit-judgment call in this whole document.</w:t>
      </w:r>
    </w:p>
    <w:p>
      <w:pPr>
        <w:pStyle w:val="Heading3"/>
      </w:pPr>
      <w:bookmarkStart w:id="27" w:name="X138279cead618e0b1989c8c95b090864e5c0cc2"/>
      <w:r>
        <w:t xml:space="preserve">3.4 Beyond chips — the AI wave spilling into adjacent sectors</w:t>
      </w:r>
      <w:bookmarkEnd w:id="27"/>
    </w:p>
    <w:p>
      <w:pPr>
        <w:pStyle w:val="FirstParagraph"/>
      </w:pPr>
      <w:r>
        <w:t xml:space="preserve">The report is explicit that the financing wave is</w:t>
      </w:r>
      <w:r>
        <w:t xml:space="preserve"> </w:t>
      </w:r>
      <w:r>
        <w:t xml:space="preserve">“</w:t>
      </w:r>
      <w:r>
        <w:t xml:space="preserve">sweeping other sectors beyond memory</w:t>
      </w:r>
      <w:r>
        <w:t xml:space="preserve">”</w:t>
      </w:r>
      <w:r>
        <w:t xml:space="preserve">: data-center hardware (Giga Computing), distribution (WT Micro), and — across the region — the</w:t>
      </w:r>
      <w:r>
        <w:t xml:space="preserve"> </w:t>
      </w:r>
      <w:r>
        <w:rPr>
          <w:b/>
        </w:rPr>
        <w:t xml:space="preserve">physical data centers themselves</w:t>
      </w:r>
      <w:r>
        <w:t xml:space="preserve"> </w:t>
      </w:r>
      <w:r>
        <w:t xml:space="preserve">(DayOne’s ~US$3.7bn Malaysia financing, below). The throughline is the same AI capex super-cycle, expressed through different parts of the value chain.</w:t>
      </w:r>
    </w:p>
    <w:p>
      <w:pPr>
        <w:pStyle w:val="Heading3"/>
      </w:pPr>
      <w:bookmarkStart w:id="28" w:name="the-tipping-point-debate-read-this-twice"/>
      <w:r>
        <w:t xml:space="preserve">3.5 The</w:t>
      </w:r>
      <w:r>
        <w:t xml:space="preserve"> </w:t>
      </w:r>
      <w:r>
        <w:t xml:space="preserve">“</w:t>
      </w:r>
      <w:r>
        <w:t xml:space="preserve">tipping point?</w:t>
      </w:r>
      <w:r>
        <w:t xml:space="preserve">”</w:t>
      </w:r>
      <w:r>
        <w:t xml:space="preserve"> </w:t>
      </w:r>
      <w:r>
        <w:t xml:space="preserve">debate — read this twice</w:t>
      </w:r>
      <w:bookmarkEnd w:id="28"/>
    </w:p>
    <w:p>
      <w:pPr>
        <w:pStyle w:val="FirstParagraph"/>
      </w:pPr>
      <w:r>
        <w:t xml:space="preserve">The report’s most valuable passage for a banker is the candid worry from the desk:</w:t>
      </w:r>
    </w:p>
    <w:p>
      <w:pPr>
        <w:numPr>
          <w:ilvl w:val="0"/>
          <w:numId w:val="1003"/>
        </w:numPr>
        <w:pStyle w:val="Compact"/>
      </w:pPr>
      <w:r>
        <w:rPr>
          <w:i/>
        </w:rPr>
        <w:t xml:space="preserve">“</w:t>
      </w:r>
      <w:r>
        <w:rPr>
          <w:i/>
        </w:rPr>
        <w:t xml:space="preserve">This is a tricky moment, and the real question is whether the second half is the tipping point.</w:t>
      </w:r>
      <w:r>
        <w:rPr>
          <w:i/>
        </w:rPr>
        <w:t xml:space="preserve">”</w:t>
      </w:r>
    </w:p>
    <w:p>
      <w:pPr>
        <w:numPr>
          <w:ilvl w:val="0"/>
          <w:numId w:val="1003"/>
        </w:numPr>
        <w:pStyle w:val="Compact"/>
      </w:pPr>
      <w:r>
        <w:t xml:space="preserve">Borrowers want pricing</w:t>
      </w:r>
      <w:r>
        <w:t xml:space="preserve"> </w:t>
      </w:r>
      <w:r>
        <w:rPr>
          <w:b/>
        </w:rPr>
        <w:t xml:space="preserve">flat or lower</w:t>
      </w:r>
      <w:r>
        <w:t xml:space="preserve"> </w:t>
      </w:r>
      <w:r>
        <w:t xml:space="preserve">than last year — but with everyone raising cash simultaneously, no one knows whether the</w:t>
      </w:r>
      <w:r>
        <w:t xml:space="preserve"> </w:t>
      </w:r>
      <w:r>
        <w:rPr>
          <w:b/>
        </w:rPr>
        <w:t xml:space="preserve">next</w:t>
      </w:r>
      <w:r>
        <w:t xml:space="preserve"> </w:t>
      </w:r>
      <w:r>
        <w:t xml:space="preserve">wave of deals will have to pay</w:t>
      </w:r>
      <w:r>
        <w:t xml:space="preserve"> </w:t>
      </w:r>
      <w:r>
        <w:rPr>
          <w:b/>
        </w:rPr>
        <w:t xml:space="preserve">more</w:t>
      </w:r>
      <w:r>
        <w:t xml:space="preserve"> </w:t>
      </w:r>
      <w:r>
        <w:t xml:space="preserve">to clear.</w:t>
      </w:r>
    </w:p>
    <w:p>
      <w:pPr>
        <w:numPr>
          <w:ilvl w:val="0"/>
          <w:numId w:val="1003"/>
        </w:numPr>
        <w:pStyle w:val="Compact"/>
      </w:pPr>
      <w:r>
        <w:rPr>
          <w:b/>
        </w:rPr>
        <w:t xml:space="preserve">Lead banks are</w:t>
      </w:r>
      <w:r>
        <w:rPr>
          <w:b/>
        </w:rPr>
        <w:t xml:space="preserve"> </w:t>
      </w:r>
      <w:r>
        <w:rPr>
          <w:b/>
        </w:rPr>
        <w:t xml:space="preserve">“</w:t>
      </w:r>
      <w:r>
        <w:rPr>
          <w:b/>
        </w:rPr>
        <w:t xml:space="preserve">not fussy</w:t>
      </w:r>
      <w:r>
        <w:rPr>
          <w:b/>
        </w:rPr>
        <w:t xml:space="preserve">”</w:t>
      </w:r>
      <w:r>
        <w:t xml:space="preserve"> </w:t>
      </w:r>
      <w:r>
        <w:t xml:space="preserve">(they want volume) but</w:t>
      </w:r>
      <w:r>
        <w:t xml:space="preserve"> </w:t>
      </w:r>
      <w:r>
        <w:rPr>
          <w:b/>
        </w:rPr>
        <w:t xml:space="preserve">syndicate members are turning selective</w:t>
      </w:r>
      <w:r>
        <w:t xml:space="preserve">, with some</w:t>
      </w:r>
      <w:r>
        <w:t xml:space="preserve"> </w:t>
      </w:r>
      <w:r>
        <w:rPr>
          <w:b/>
        </w:rPr>
        <w:t xml:space="preserve">capping exposure to single sectors</w:t>
      </w:r>
      <w:r>
        <w:t xml:space="preserve"> </w:t>
      </w:r>
      <w:r>
        <w:t xml:space="preserve">(i.e., they don’t want too much Taiwan-semiconductor concentration).</w:t>
      </w:r>
    </w:p>
    <w:p>
      <w:pPr>
        <w:numPr>
          <w:ilvl w:val="0"/>
          <w:numId w:val="1003"/>
        </w:numPr>
        <w:pStyle w:val="Compact"/>
      </w:pPr>
      <w:r>
        <w:t xml:space="preserve">Foreign lenders (a Hong Kong-based Asia loans head at an international bank) are circling, expecting big names to expand funding into Hong Kong and Singapore next.</w:t>
      </w:r>
    </w:p>
    <w:p>
      <w:pPr>
        <w:pStyle w:val="FirstParagraph"/>
      </w:pPr>
      <w:r>
        <w:t xml:space="preserve">This is the crux of the supervisor conversation:</w:t>
      </w:r>
      <w:r>
        <w:t xml:space="preserve"> </w:t>
      </w:r>
      <w:r>
        <w:rPr>
          <w:b/>
        </w:rPr>
        <w:t xml:space="preserve">is 2026 the durable middle of a multi-year boom, or the blow-off top of a memory/AI cycle?</w:t>
      </w:r>
      <w:r>
        <w:t xml:space="preserve"> </w:t>
      </w:r>
      <w:r>
        <w:t xml:space="preserve">The honest answer is that the people closest to it don’t know — which is exactly why they’re rushing.</w:t>
      </w:r>
    </w:p>
    <w:p>
      <w:r>
        <w:pict>
          <v:rect style="width:0;height:1.5pt" o:hralign="center" o:hrstd="t" o:hr="t"/>
        </w:pict>
      </w:r>
    </w:p>
    <w:p>
      <w:pPr>
        <w:pStyle w:val="Heading2"/>
      </w:pPr>
      <w:bookmarkStart w:id="29" w:name="X8561a428c080d61d59aa2147059b7e13cd2dfb7"/>
      <w:r>
        <w:t xml:space="preserve">4. Industry deep dive — advanced packaging and the ASE story</w:t>
      </w:r>
      <w:bookmarkEnd w:id="29"/>
    </w:p>
    <w:p>
      <w:pPr>
        <w:pStyle w:val="FirstParagraph"/>
      </w:pPr>
      <w:r>
        <w:t xml:space="preserve">If you want one company to understand deeply for the discussion, make it</w:t>
      </w:r>
      <w:r>
        <w:t xml:space="preserve"> </w:t>
      </w:r>
      <w:r>
        <w:rPr>
          <w:b/>
        </w:rPr>
        <w:t xml:space="preserve">ASE Technology</w:t>
      </w:r>
      <w:r>
        <w:t xml:space="preserve"> </w:t>
      </w:r>
      <w:r>
        <w:t xml:space="preserve">— it’s the biggest borrower in the pipeline and the cleanest illustration of why AI turns into loans.</w:t>
      </w:r>
    </w:p>
    <w:p>
      <w:pPr>
        <w:pStyle w:val="BodyText"/>
      </w:pPr>
      <w:r>
        <w:rPr>
          <w:b/>
        </w:rPr>
        <w:t xml:space="preserve">What ASE does.</w:t>
      </w:r>
      <w:r>
        <w:t xml:space="preserve"> </w:t>
      </w:r>
      <w:r>
        <w:t xml:space="preserve">ASE is the world’s largest</w:t>
      </w:r>
      <w:r>
        <w:t xml:space="preserve"> </w:t>
      </w:r>
      <w:r>
        <w:rPr>
          <w:b/>
        </w:rPr>
        <w:t xml:space="preserve">OSAT</w:t>
      </w:r>
      <w:r>
        <w:t xml:space="preserve"> </w:t>
      </w:r>
      <w:r>
        <w:t xml:space="preserve">— Outsourced Semiconductor Assembly and Test. After a foundry (like TSMC) etches a chip onto silicon, someone has to</w:t>
      </w:r>
      <w:r>
        <w:t xml:space="preserve"> </w:t>
      </w:r>
      <w:r>
        <w:rPr>
          <w:b/>
        </w:rPr>
        <w:t xml:space="preserve">package</w:t>
      </w:r>
      <w:r>
        <w:t xml:space="preserve"> </w:t>
      </w:r>
      <w:r>
        <w:t xml:space="preserve">it (encase it, connect it, integrate multiple chiplets into one module) and</w:t>
      </w:r>
      <w:r>
        <w:t xml:space="preserve"> </w:t>
      </w:r>
      <w:r>
        <w:rPr>
          <w:b/>
        </w:rPr>
        <w:t xml:space="preserve">test</w:t>
      </w:r>
      <w:r>
        <w:t xml:space="preserve"> </w:t>
      </w:r>
      <w:r>
        <w:t xml:space="preserve">it. For AI accelerators, packaging is no longer the boring back-end — it’s the bottleneck. Advanced packaging like</w:t>
      </w:r>
      <w:r>
        <w:t xml:space="preserve"> </w:t>
      </w:r>
      <w:r>
        <w:rPr>
          <w:b/>
        </w:rPr>
        <w:t xml:space="preserve">CoWoS</w:t>
      </w:r>
      <w:r>
        <w:t xml:space="preserve"> </w:t>
      </w:r>
      <w:r>
        <w:t xml:space="preserve">(</w:t>
      </w:r>
      <w:r>
        <w:t xml:space="preserve">“</w:t>
      </w:r>
      <w:r>
        <w:t xml:space="preserve">chip-on-wafer-on-substrate</w:t>
      </w:r>
      <w:r>
        <w:t xml:space="preserve">”</w:t>
      </w:r>
      <w:r>
        <w:t xml:space="preserve">) is what physically marries a GPU to its HBM stacks. One commentator called ASE the</w:t>
      </w:r>
      <w:r>
        <w:t xml:space="preserve"> </w:t>
      </w:r>
      <w:r>
        <w:rPr>
          <w:i/>
        </w:rPr>
        <w:t xml:space="preserve">“</w:t>
      </w:r>
      <w:r>
        <w:rPr>
          <w:i/>
        </w:rPr>
        <w:t xml:space="preserve">new gatekeeper of AI.</w:t>
      </w:r>
      <w:r>
        <w:rPr>
          <w:i/>
        </w:rPr>
        <w:t xml:space="preserve">”</w:t>
      </w:r>
    </w:p>
    <w:p>
      <w:pPr>
        <w:pStyle w:val="BodyText"/>
      </w:pPr>
      <w:r>
        <w:rPr>
          <w:b/>
        </w:rPr>
        <w:t xml:space="preserve">Why it’s borrowing NT$80bn.</w:t>
      </w:r>
      <w:r>
        <w:t xml:space="preserve"> </w:t>
      </w:r>
      <w:r>
        <w:t xml:space="preserve">ASE has guided to a</w:t>
      </w:r>
      <w:r>
        <w:t xml:space="preserve"> </w:t>
      </w:r>
      <w:r>
        <w:rPr>
          <w:b/>
        </w:rPr>
        <w:t xml:space="preserve">record ~US$7bn capex for 2026</w:t>
      </w:r>
      <w:r>
        <w:t xml:space="preserve">, is</w:t>
      </w:r>
      <w:r>
        <w:t xml:space="preserve"> </w:t>
      </w:r>
      <w:r>
        <w:rPr>
          <w:b/>
        </w:rPr>
        <w:t xml:space="preserve">roughly tripling its CoWoS-equivalent capacity</w:t>
      </w:r>
      <w:r>
        <w:t xml:space="preserve"> </w:t>
      </w:r>
      <w:r>
        <w:t xml:space="preserve">(toward ~25,000 wafers/month, heading past 200,000 wafers in 2027), expects</w:t>
      </w:r>
      <w:r>
        <w:t xml:space="preserve"> </w:t>
      </w:r>
      <w:r>
        <w:rPr>
          <w:b/>
        </w:rPr>
        <w:t xml:space="preserve">advanced-packaging revenue to roughly double to ~US$3.2bn</w:t>
      </w:r>
      <w:r>
        <w:t xml:space="preserve">, and is breaking ground on its</w:t>
      </w:r>
      <w:r>
        <w:t xml:space="preserve"> </w:t>
      </w:r>
      <w:r>
        <w:rPr>
          <w:b/>
        </w:rPr>
        <w:t xml:space="preserve">largest-ever expansion (six new plants)</w:t>
      </w:r>
      <w:r>
        <w:t xml:space="preserve"> </w:t>
      </w:r>
      <w:r>
        <w:t xml:space="preserve">to serve Nvidia, AMD and others. That capex has to be funded — and a chunk of it is coming from the syndicated loan market. NT$80bn is the loan footprint of a physical build-out.</w:t>
      </w:r>
    </w:p>
    <w:p>
      <w:pPr>
        <w:pStyle w:val="BodyText"/>
      </w:pPr>
      <w:r>
        <w:rPr>
          <w:b/>
        </w:rPr>
        <w:t xml:space="preserve">The teaching point.</w:t>
      </w:r>
      <w:r>
        <w:t xml:space="preserve"> </w:t>
      </w:r>
      <w:r>
        <w:t xml:space="preserve">The chain is:</w:t>
      </w:r>
      <w:r>
        <w:t xml:space="preserve"> </w:t>
      </w:r>
      <w:r>
        <w:rPr>
          <w:i/>
        </w:rPr>
        <w:t xml:space="preserve">AI compute demand → CoWoS/packaging shortage → ASE triples capacity → ASE borrows NT$80bn → CTBC and peers compete to lead it.</w:t>
      </w:r>
      <w:r>
        <w:t xml:space="preserve"> </w:t>
      </w:r>
      <w:r>
        <w:t xml:space="preserve">ASE is the worked example of this whole briefing.</w:t>
      </w:r>
    </w:p>
    <w:p>
      <w:r>
        <w:pict>
          <v:rect style="width:0;height:1.5pt" o:hralign="center" o:hrstd="t" o:hr="t"/>
        </w:pict>
      </w:r>
    </w:p>
    <w:p>
      <w:pPr>
        <w:pStyle w:val="Heading2"/>
      </w:pPr>
      <w:bookmarkStart w:id="30" w:name="X217cd9501de07d6a6f2cc4d0f5926b77cfe1904"/>
      <w:r>
        <w:t xml:space="preserve">5. APAC roundup — the rest of the market, country by country</w:t>
      </w:r>
      <w:bookmarkEnd w:id="30"/>
    </w:p>
    <w:p>
      <w:pPr>
        <w:pStyle w:val="FirstParagraph"/>
      </w:pPr>
      <w:r>
        <w:t xml:space="preserve">The tracker isn’t only Taiwan. The regional sweep tells you what’s</w:t>
      </w:r>
      <w:r>
        <w:t xml:space="preserve"> </w:t>
      </w:r>
      <w:r>
        <w:rPr>
          <w:i/>
        </w:rPr>
        <w:t xml:space="preserve">normal</w:t>
      </w:r>
      <w:r>
        <w:t xml:space="preserve"> </w:t>
      </w:r>
      <w:r>
        <w:t xml:space="preserve">deal flow right now and where pricing sits. Quick tour:</w:t>
      </w:r>
    </w:p>
    <w:p>
      <w:pPr>
        <w:pStyle w:val="BodyText"/>
      </w:pPr>
      <w:r>
        <w:rPr>
          <w:b/>
        </w:rPr>
        <w:t xml:space="preserve">Taiwan (beyond the chip names).</w:t>
      </w:r>
      <w:r>
        <w:t xml:space="preserve"> </w:t>
      </w:r>
      <w:r>
        <w:rPr>
          <w:i/>
        </w:rPr>
        <w:t xml:space="preserve">Kindom Development</w:t>
      </w:r>
      <w:r>
        <w:t xml:space="preserve"> </w:t>
      </w:r>
      <w:r>
        <w:t xml:space="preserve">— NT$15.95bn 6.5y property/construction loan (Bank of Taiwan, Chang Hwa, First Commercial). Property lending is structured very differently from chip lending: multiple tranches for construction vs. land vs. working capital vs. guarantees, priced over the local</w:t>
      </w:r>
      <w:r>
        <w:t xml:space="preserve"> </w:t>
      </w:r>
      <w:r>
        <w:t xml:space="preserve">“</w:t>
      </w:r>
      <w:r>
        <w:t xml:space="preserve">post office rate</w:t>
      </w:r>
      <w:r>
        <w:t xml:space="preserve">”</w:t>
      </w:r>
      <w:r>
        <w:t xml:space="preserve"> </w:t>
      </w:r>
      <w:r>
        <w:t xml:space="preserve">with a 2% floor — much more granular and collateral-driven.</w:t>
      </w:r>
    </w:p>
    <w:p>
      <w:pPr>
        <w:pStyle w:val="BodyText"/>
      </w:pPr>
      <w:r>
        <w:rPr>
          <w:b/>
        </w:rPr>
        <w:t xml:space="preserve">China.</w:t>
      </w:r>
      <w:r>
        <w:t xml:space="preserve"> </w:t>
      </w:r>
      <w:r>
        <w:rPr>
          <w:i/>
        </w:rPr>
        <w:t xml:space="preserve">Sinopec</w:t>
      </w:r>
      <w:r>
        <w:t xml:space="preserve"> </w:t>
      </w:r>
      <w:r>
        <w:t xml:space="preserve">refinancing talks (including refinancing buyback loans backed by the PBoC’s special relending programme);</w:t>
      </w:r>
      <w:r>
        <w:t xml:space="preserve"> </w:t>
      </w:r>
      <w:r>
        <w:rPr>
          <w:i/>
        </w:rPr>
        <w:t xml:space="preserve">Jingwang Electronics</w:t>
      </w:r>
      <w:r>
        <w:t xml:space="preserve"> </w:t>
      </w:r>
      <w:r>
        <w:t xml:space="preserve">(PCB maker) up to Rmb2.52bn for a Zhuhai plant;</w:t>
      </w:r>
      <w:r>
        <w:t xml:space="preserve"> </w:t>
      </w:r>
      <w:r>
        <w:rPr>
          <w:i/>
        </w:rPr>
        <w:t xml:space="preserve">JMX Consumer Finance</w:t>
      </w:r>
      <w:r>
        <w:t xml:space="preserve"> </w:t>
      </w:r>
      <w:r>
        <w:t xml:space="preserve">Rmb620m —</w:t>
      </w:r>
      <w:r>
        <w:t xml:space="preserve"> </w:t>
      </w:r>
      <w:r>
        <w:rPr>
          <w:b/>
        </w:rPr>
        <w:t xml:space="preserve">note this one: its shareholders are Taiwan’s CTBC Bank and Xiamen Jinyuan</w:t>
      </w:r>
      <w:r>
        <w:t xml:space="preserve"> </w:t>
      </w:r>
      <w:r>
        <w:t xml:space="preserve">(see §6);</w:t>
      </w:r>
      <w:r>
        <w:t xml:space="preserve"> </w:t>
      </w:r>
      <w:r>
        <w:rPr>
          <w:i/>
        </w:rPr>
        <w:t xml:space="preserve">China Gas</w:t>
      </w:r>
      <w:r>
        <w:t xml:space="preserve"> </w:t>
      </w:r>
      <w:r>
        <w:t xml:space="preserve">US$400m at</w:t>
      </w:r>
      <w:r>
        <w:t xml:space="preserve"> </w:t>
      </w:r>
      <w:r>
        <w:rPr>
          <w:i/>
        </w:rPr>
        <w:t xml:space="preserve">tighter</w:t>
      </w:r>
      <w:r>
        <w:t xml:space="preserve"> </w:t>
      </w:r>
      <w:r>
        <w:t xml:space="preserve">pricing than a year ago;</w:t>
      </w:r>
      <w:r>
        <w:t xml:space="preserve"> </w:t>
      </w:r>
      <w:r>
        <w:rPr>
          <w:i/>
        </w:rPr>
        <w:t xml:space="preserve">Guotai Junan International</w:t>
      </w:r>
      <w:r>
        <w:t xml:space="preserve"> </w:t>
      </w:r>
      <w:r>
        <w:t xml:space="preserve">US$500m;</w:t>
      </w:r>
      <w:r>
        <w:t xml:space="preserve"> </w:t>
      </w:r>
      <w:r>
        <w:rPr>
          <w:i/>
        </w:rPr>
        <w:t xml:space="preserve">H&amp;H</w:t>
      </w:r>
      <w:r>
        <w:t xml:space="preserve"> </w:t>
      </w:r>
      <w:r>
        <w:t xml:space="preserve">(baby formula/vitamins) US$390m refi.</w:t>
      </w:r>
    </w:p>
    <w:p>
      <w:pPr>
        <w:pStyle w:val="BodyText"/>
      </w:pPr>
      <w:r>
        <w:rPr>
          <w:b/>
        </w:rPr>
        <w:t xml:space="preserve">Hong Kong.</w:t>
      </w:r>
      <w:r>
        <w:t xml:space="preserve"> </w:t>
      </w:r>
      <w:r>
        <w:rPr>
          <w:i/>
        </w:rPr>
        <w:t xml:space="preserve">TDB</w:t>
      </w:r>
      <w:r>
        <w:t xml:space="preserve"> </w:t>
      </w:r>
      <w:r>
        <w:t xml:space="preserve">(African trade-and-development bank) US$800m, tapping Asian liquidity twice in six months — pricing tied to a ratings grid (Ba1/BB);</w:t>
      </w:r>
      <w:r>
        <w:t xml:space="preserve"> </w:t>
      </w:r>
      <w:r>
        <w:rPr>
          <w:i/>
        </w:rPr>
        <w:t xml:space="preserve">Sun Hung Kai Properties</w:t>
      </w:r>
      <w:r>
        <w:t xml:space="preserve"> </w:t>
      </w:r>
      <w:r>
        <w:t xml:space="preserve">upsized a five-year loan to</w:t>
      </w:r>
      <w:r>
        <w:t xml:space="preserve"> </w:t>
      </w:r>
      <w:r>
        <w:rPr>
          <w:b/>
        </w:rPr>
        <w:t xml:space="preserve">HK$20bn from a HK$5bn target</w:t>
      </w:r>
      <w:r>
        <w:t xml:space="preserve"> </w:t>
      </w:r>
      <w:r>
        <w:t xml:space="preserve">with 16 banks — a blue-chip demand signal at a thin ~70bp all-in;</w:t>
      </w:r>
      <w:r>
        <w:t xml:space="preserve"> </w:t>
      </w:r>
      <w:r>
        <w:rPr>
          <w:i/>
        </w:rPr>
        <w:t xml:space="preserve">Chengdu Sefon</w:t>
      </w:r>
      <w:r>
        <w:t xml:space="preserve"> </w:t>
      </w:r>
      <w:r>
        <w:t xml:space="preserve">(AI software) financing an HK$266m takeover.</w:t>
      </w:r>
    </w:p>
    <w:p>
      <w:pPr>
        <w:pStyle w:val="BodyText"/>
      </w:pPr>
      <w:r>
        <w:rPr>
          <w:b/>
        </w:rPr>
        <w:t xml:space="preserve">Australia.</w:t>
      </w:r>
      <w:r>
        <w:t xml:space="preserve"> </w:t>
      </w:r>
      <w:r>
        <w:rPr>
          <w:i/>
        </w:rPr>
        <w:t xml:space="preserve">Charter Hall Long WALE REIT</w:t>
      </w:r>
      <w:r>
        <w:t xml:space="preserve"> </w:t>
      </w:r>
      <w:r>
        <w:t xml:space="preserve">A$2bn refinancing (swapping unsecured for secured, extending maturities);</w:t>
      </w:r>
      <w:r>
        <w:t xml:space="preserve"> </w:t>
      </w:r>
      <w:r>
        <w:rPr>
          <w:i/>
        </w:rPr>
        <w:t xml:space="preserve">Frontier Energy</w:t>
      </w:r>
      <w:r>
        <w:t xml:space="preserve"> </w:t>
      </w:r>
      <w:r>
        <w:t xml:space="preserve">~A$220–230m project financing for a solar+battery project (20-year tenor — classic infrastructure/project-finance structure);</w:t>
      </w:r>
      <w:r>
        <w:t xml:space="preserve"> </w:t>
      </w:r>
      <w:r>
        <w:rPr>
          <w:i/>
        </w:rPr>
        <w:t xml:space="preserve">Macquarie Bank Europe</w:t>
      </w:r>
      <w:r>
        <w:t xml:space="preserve"> </w:t>
      </w:r>
      <w:r>
        <w:t xml:space="preserve">€200m (</w:t>
      </w:r>
      <w:r>
        <w:rPr>
          <w:b/>
        </w:rPr>
        <w:t xml:space="preserve">CTBC</w:t>
      </w:r>
      <w:r>
        <w:t xml:space="preserve"> </w:t>
      </w:r>
      <w:r>
        <w:t xml:space="preserve">as</w:t>
      </w:r>
      <w:r>
        <w:t xml:space="preserve"> </w:t>
      </w:r>
      <w:r>
        <w:rPr>
          <w:b/>
        </w:rPr>
        <w:t xml:space="preserve">sole MLAB</w:t>
      </w:r>
      <w:r>
        <w:t xml:space="preserve"> </w:t>
      </w:r>
      <w:r>
        <w:t xml:space="preserve">— see §6).</w:t>
      </w:r>
    </w:p>
    <w:p>
      <w:pPr>
        <w:pStyle w:val="BodyText"/>
      </w:pPr>
      <w:r>
        <w:rPr>
          <w:b/>
        </w:rPr>
        <w:t xml:space="preserve">Japan.</w:t>
      </w:r>
      <w:r>
        <w:t xml:space="preserve"> </w:t>
      </w:r>
      <w:r>
        <w:rPr>
          <w:i/>
        </w:rPr>
        <w:t xml:space="preserve">Bain Capital</w:t>
      </w:r>
      <w:r>
        <w:t xml:space="preserve"> </w:t>
      </w:r>
      <w:r>
        <w:t xml:space="preserve">raised</w:t>
      </w:r>
      <w:r>
        <w:t xml:space="preserve"> </w:t>
      </w:r>
      <w:r>
        <w:rPr>
          <w:b/>
        </w:rPr>
        <w:t xml:space="preserve">¥100bn+ (US$623m)</w:t>
      </w:r>
      <w:r>
        <w:t xml:space="preserve"> </w:t>
      </w:r>
      <w:r>
        <w:t xml:space="preserve">to back its</w:t>
      </w:r>
      <w:r>
        <w:t xml:space="preserve"> </w:t>
      </w:r>
      <w:r>
        <w:rPr>
          <w:b/>
        </w:rPr>
        <w:t xml:space="preserve">leveraged buyout of FineToday</w:t>
      </w:r>
      <w:r>
        <w:t xml:space="preserve"> </w:t>
      </w:r>
      <w:r>
        <w:t xml:space="preserve">(personal care) at</w:t>
      </w:r>
      <w:r>
        <w:t xml:space="preserve"> </w:t>
      </w:r>
      <w:r>
        <w:rPr>
          <w:b/>
        </w:rPr>
        <w:t xml:space="preserve">&gt;6x EBITDA leverage</w:t>
      </w:r>
      <w:r>
        <w:t xml:space="preserve"> </w:t>
      </w:r>
      <w:r>
        <w:t xml:space="preserve">— your textbook LBO loan, much higher-priced (300bp+) and riskier than investment-grade corporate loans;</w:t>
      </w:r>
      <w:r>
        <w:t xml:space="preserve"> </w:t>
      </w:r>
      <w:r>
        <w:rPr>
          <w:i/>
        </w:rPr>
        <w:t xml:space="preserve">Delfin FLNG</w:t>
      </w:r>
      <w:r>
        <w:t xml:space="preserve"> </w:t>
      </w:r>
      <w:r>
        <w:t xml:space="preserve">US$3.6bn for a floating LNG project;</w:t>
      </w:r>
      <w:r>
        <w:t xml:space="preserve"> </w:t>
      </w:r>
      <w:r>
        <w:rPr>
          <w:i/>
        </w:rPr>
        <w:t xml:space="preserve">Ecom</w:t>
      </w:r>
      <w:r>
        <w:t xml:space="preserve"> </w:t>
      </w:r>
      <w:r>
        <w:t xml:space="preserve">¥25bn debut Samurai loan (a yen loan to a foreign borrower).</w:t>
      </w:r>
    </w:p>
    <w:p>
      <w:pPr>
        <w:pStyle w:val="BodyText"/>
      </w:pPr>
      <w:r>
        <w:rPr>
          <w:b/>
        </w:rPr>
        <w:t xml:space="preserve">Macau.</w:t>
      </w:r>
      <w:r>
        <w:t xml:space="preserve"> </w:t>
      </w:r>
      <w:r>
        <w:rPr>
          <w:i/>
        </w:rPr>
        <w:t xml:space="preserve">Melco</w:t>
      </w:r>
      <w:r>
        <w:t xml:space="preserve"> </w:t>
      </w:r>
      <w:r>
        <w:t xml:space="preserve">amend-and-extend (</w:t>
      </w:r>
      <w:r>
        <w:t xml:space="preserve">“</w:t>
      </w:r>
      <w:r>
        <w:t xml:space="preserve">A&amp;E</w:t>
      </w:r>
      <w:r>
        <w:t xml:space="preserve">”</w:t>
      </w:r>
      <w:r>
        <w:t xml:space="preserve">) of a 2020 revolver, upsized to HK$21.68bn — extending maturities at unchanged pricing (a quieter, defensive kind of deal).</w:t>
      </w:r>
    </w:p>
    <w:p>
      <w:pPr>
        <w:pStyle w:val="BodyText"/>
      </w:pPr>
      <w:r>
        <w:rPr>
          <w:b/>
        </w:rPr>
        <w:t xml:space="preserve">Malaysia.</w:t>
      </w:r>
      <w:r>
        <w:t xml:space="preserve"> </w:t>
      </w:r>
      <w:r>
        <w:rPr>
          <w:i/>
        </w:rPr>
        <w:t xml:space="preserve">DayOne Data Centres</w:t>
      </w:r>
      <w:r>
        <w:t xml:space="preserve"> </w:t>
      </w:r>
      <w:r>
        <w:t xml:space="preserve">launched</w:t>
      </w:r>
      <w:r>
        <w:t xml:space="preserve"> </w:t>
      </w:r>
      <w:r>
        <w:rPr>
          <w:b/>
        </w:rPr>
        <w:t xml:space="preserve">~US$3.7bn</w:t>
      </w:r>
      <w:r>
        <w:t xml:space="preserve"> </w:t>
      </w:r>
      <w:r>
        <w:t xml:space="preserve">to fund</w:t>
      </w:r>
      <w:r>
        <w:t xml:space="preserve"> </w:t>
      </w:r>
      <w:r>
        <w:rPr>
          <w:b/>
        </w:rPr>
        <w:t xml:space="preserve">656MW</w:t>
      </w:r>
      <w:r>
        <w:t xml:space="preserve"> </w:t>
      </w:r>
      <w:r>
        <w:t xml:space="preserve">of additional Johor data-center capacity — one of the largest digital-infrastructure financings in the region, and a direct read on the AI/data-center capex theme outside Taiwan. (DayOne also just closed a US$4.5bn Series C and is eyeing a US IPO.)</w:t>
      </w:r>
    </w:p>
    <w:p>
      <w:pPr>
        <w:pStyle w:val="BodyText"/>
      </w:pPr>
      <w:r>
        <w:rPr>
          <w:b/>
        </w:rPr>
        <w:t xml:space="preserve">New Zealand.</w:t>
      </w:r>
      <w:r>
        <w:t xml:space="preserve"> </w:t>
      </w:r>
      <w:r>
        <w:rPr>
          <w:i/>
        </w:rPr>
        <w:t xml:space="preserve">Synlait Milk</w:t>
      </w:r>
      <w:r>
        <w:t xml:space="preserve"> </w:t>
      </w:r>
      <w:r>
        <w:t xml:space="preserve">refinancing senior facilities (with a Bright Dairy shareholder loan being restructured alongside) — a turnaround/refi situation.</w:t>
      </w:r>
    </w:p>
    <w:p>
      <w:pPr>
        <w:pStyle w:val="BodyText"/>
      </w:pPr>
      <w:r>
        <w:rPr>
          <w:b/>
        </w:rPr>
        <w:t xml:space="preserve">Singapore.</w:t>
      </w:r>
      <w:r>
        <w:t xml:space="preserve"> </w:t>
      </w:r>
      <w:r>
        <w:rPr>
          <w:i/>
        </w:rPr>
        <w:t xml:space="preserve">Seaspan</w:t>
      </w:r>
      <w:r>
        <w:t xml:space="preserve"> </w:t>
      </w:r>
      <w:r>
        <w:t xml:space="preserve">US$450m revolver (container-ship leasing, ~16% global market share).</w:t>
      </w:r>
    </w:p>
    <w:p>
      <w:pPr>
        <w:pStyle w:val="BodyText"/>
      </w:pPr>
      <w:r>
        <w:rPr>
          <w:b/>
        </w:rPr>
        <w:t xml:space="preserve">South Korea.</w:t>
      </w:r>
      <w:r>
        <w:t xml:space="preserve"> </w:t>
      </w:r>
      <w:r>
        <w:rPr>
          <w:i/>
        </w:rPr>
        <w:t xml:space="preserve">Korea Development Bank</w:t>
      </w:r>
      <w:r>
        <w:t xml:space="preserve"> </w:t>
      </w:r>
      <w:r>
        <w:t xml:space="preserve">US$300m at</w:t>
      </w:r>
      <w:r>
        <w:t xml:space="preserve"> </w:t>
      </w:r>
      <w:r>
        <w:rPr>
          <w:b/>
        </w:rPr>
        <w:t xml:space="preserve">tighter</w:t>
      </w:r>
      <w:r>
        <w:t xml:space="preserve"> </w:t>
      </w:r>
      <w:r>
        <w:t xml:space="preserve">pricing than five months ago — a policy-bank benchmark showing the strong-credit end of the market.</w:t>
      </w:r>
    </w:p>
    <w:p>
      <w:pPr>
        <w:pStyle w:val="BodyText"/>
      </w:pPr>
      <w:r>
        <w:rPr>
          <w:b/>
        </w:rPr>
        <w:t xml:space="preserve">Vietnam.</w:t>
      </w:r>
      <w:r>
        <w:t xml:space="preserve"> </w:t>
      </w:r>
      <w:r>
        <w:t xml:space="preserve">A cluster of bank financings —</w:t>
      </w:r>
      <w:r>
        <w:t xml:space="preserve"> </w:t>
      </w:r>
      <w:r>
        <w:rPr>
          <w:i/>
        </w:rPr>
        <w:t xml:space="preserve">VPBank</w:t>
      </w:r>
      <w:r>
        <w:t xml:space="preserve"> </w:t>
      </w:r>
      <w:r>
        <w:t xml:space="preserve">upsized a sustainability-linked loan to</w:t>
      </w:r>
      <w:r>
        <w:t xml:space="preserve"> </w:t>
      </w:r>
      <w:r>
        <w:rPr>
          <w:b/>
        </w:rPr>
        <w:t xml:space="preserve">US$1.44bn</w:t>
      </w:r>
      <w:r>
        <w:t xml:space="preserve"> </w:t>
      </w:r>
      <w:r>
        <w:t xml:space="preserve">(19 banks),</w:t>
      </w:r>
      <w:r>
        <w:t xml:space="preserve"> </w:t>
      </w:r>
      <w:r>
        <w:rPr>
          <w:i/>
        </w:rPr>
        <w:t xml:space="preserve">VIB</w:t>
      </w:r>
      <w:r>
        <w:t xml:space="preserve"> </w:t>
      </w:r>
      <w:r>
        <w:t xml:space="preserve">US$170m,</w:t>
      </w:r>
      <w:r>
        <w:t xml:space="preserve"> </w:t>
      </w:r>
      <w:r>
        <w:rPr>
          <w:i/>
        </w:rPr>
        <w:t xml:space="preserve">HDBank</w:t>
      </w:r>
      <w:r>
        <w:t xml:space="preserve"> </w:t>
      </w:r>
      <w:r>
        <w:t xml:space="preserve">US$721m social loan (with ADB) — all showing strong demand for Vietnamese bank credit, and</w:t>
      </w:r>
      <w:r>
        <w:t xml:space="preserve"> </w:t>
      </w:r>
      <w:r>
        <w:rPr>
          <w:b/>
        </w:rPr>
        <w:t xml:space="preserve">Taiwanese banks (Cathay United, CTBC) are repeatedly in the lead groups</w:t>
      </w:r>
      <w:r>
        <w:t xml:space="preserve"> </w:t>
      </w:r>
      <w:r>
        <w:t xml:space="preserve">(see §6).</w:t>
      </w:r>
    </w:p>
    <w:p>
      <w:pPr>
        <w:pStyle w:val="BodyText"/>
      </w:pPr>
      <w:r>
        <w:rPr>
          <w:b/>
        </w:rPr>
        <w:t xml:space="preserve">Cross-cutting read:</w:t>
      </w:r>
      <w:r>
        <w:t xml:space="preserve"> </w:t>
      </w:r>
      <w:r>
        <w:t xml:space="preserve">outside the Taiwan chip frenzy, the regional market is busy but more</w:t>
      </w:r>
      <w:r>
        <w:t xml:space="preserve"> </w:t>
      </w:r>
      <w:r>
        <w:t xml:space="preserve">“</w:t>
      </w:r>
      <w:r>
        <w:t xml:space="preserve">normal</w:t>
      </w:r>
      <w:r>
        <w:t xml:space="preserve">”</w:t>
      </w:r>
      <w:r>
        <w:t xml:space="preserve"> </w:t>
      </w:r>
      <w:r>
        <w:t xml:space="preserve">— refinancings, property, project finance, LBOs, and bank-to-bank lending — with</w:t>
      </w:r>
      <w:r>
        <w:t xml:space="preserve"> </w:t>
      </w:r>
      <w:r>
        <w:rPr>
          <w:b/>
        </w:rPr>
        <w:t xml:space="preserve">pricing generally flat-to-tighter</w:t>
      </w:r>
      <w:r>
        <w:t xml:space="preserve"> </w:t>
      </w:r>
      <w:r>
        <w:t xml:space="preserve">for strong credits (China Gas, KDB, SHKP all priced inside prior deals). The hunt for yield is pushing banks toward the richer, riskier names — exactly the dynamic the</w:t>
      </w:r>
      <w:r>
        <w:t xml:space="preserve"> </w:t>
      </w:r>
      <w:r>
        <w:t xml:space="preserve">“</w:t>
      </w:r>
      <w:r>
        <w:t xml:space="preserve">tipping point</w:t>
      </w:r>
      <w:r>
        <w:t xml:space="preserve">”</w:t>
      </w:r>
      <w:r>
        <w:t xml:space="preserve"> </w:t>
      </w:r>
      <w:r>
        <w:t xml:space="preserve">section warns about.</w:t>
      </w:r>
    </w:p>
    <w:p>
      <w:r>
        <w:pict>
          <v:rect style="width:0;height:1.5pt" o:hralign="center" o:hrstd="t" o:hr="t"/>
        </w:pict>
      </w:r>
    </w:p>
    <w:p>
      <w:pPr>
        <w:pStyle w:val="Heading2"/>
      </w:pPr>
      <w:bookmarkStart w:id="31" w:name="ctbcs-own-positioning"/>
      <w:r>
        <w:t xml:space="preserve">6. CTBC’s own positioning</w:t>
      </w:r>
      <w:bookmarkEnd w:id="31"/>
    </w:p>
    <w:p>
      <w:pPr>
        <w:pStyle w:val="FirstParagraph"/>
      </w:pPr>
      <w:r>
        <w:t xml:space="preserve">This is the part to personalize for your team. CTBC shows up in this market in three distinct ways:</w:t>
      </w:r>
    </w:p>
    <w:p>
      <w:pPr>
        <w:pStyle w:val="BodyText"/>
      </w:pPr>
      <w:r>
        <w:rPr>
          <w:b/>
        </w:rPr>
        <w:t xml:space="preserve">1. As Taiwan’s leading loan house.</w:t>
      </w:r>
      <w:r>
        <w:t xml:space="preserve"> </w:t>
      </w:r>
      <w:r>
        <w:t xml:space="preserve">CTBC has been recognized as</w:t>
      </w:r>
      <w:r>
        <w:t xml:space="preserve"> </w:t>
      </w:r>
      <w:r>
        <w:rPr>
          <w:b/>
        </w:rPr>
        <w:t xml:space="preserve">IFR’s</w:t>
      </w:r>
      <w:r>
        <w:rPr>
          <w:b/>
        </w:rPr>
        <w:t xml:space="preserve"> </w:t>
      </w:r>
      <w:r>
        <w:rPr>
          <w:b/>
        </w:rPr>
        <w:t xml:space="preserve">“</w:t>
      </w:r>
      <w:r>
        <w:rPr>
          <w:b/>
        </w:rPr>
        <w:t xml:space="preserve">Taiwan Loan House</w:t>
      </w:r>
      <w:r>
        <w:rPr>
          <w:b/>
        </w:rPr>
        <w:t xml:space="preserve">”</w:t>
      </w:r>
      <w:r>
        <w:t xml:space="preserve"> </w:t>
      </w:r>
      <w:r>
        <w:t xml:space="preserve">and is consistently the most active arranger in the domestic syndicated market — leading renewable-energy, event-driven, and landmark corporate financings. In the current boom, the AI/semiconductor borrowing wave is</w:t>
      </w:r>
      <w:r>
        <w:t xml:space="preserve"> </w:t>
      </w:r>
      <w:r>
        <w:rPr>
          <w:i/>
        </w:rPr>
        <w:t xml:space="preserve">home-field advantage</w:t>
      </w:r>
      <w:r>
        <w:t xml:space="preserve"> </w:t>
      </w:r>
      <w:r>
        <w:t xml:space="preserve">for CTBC: these are Taiwanese borrowers, and CTBC has the relationships and balance sheet to lead them. Recent marquee example: CTBC led</w:t>
      </w:r>
      <w:r>
        <w:t xml:space="preserve"> </w:t>
      </w:r>
      <w:r>
        <w:rPr>
          <w:b/>
        </w:rPr>
        <w:t xml:space="preserve">Supermicro’s first-ever syndicated loan in Taiwan (~US$1.765bn, Feb 2026)</w:t>
      </w:r>
      <w:r>
        <w:t xml:space="preserve"> </w:t>
      </w:r>
      <w:r>
        <w:t xml:space="preserve">— an AI-server name choosing CTBC as lead.</w:t>
      </w:r>
    </w:p>
    <w:p>
      <w:pPr>
        <w:pStyle w:val="BodyText"/>
      </w:pPr>
      <w:r>
        <w:rPr>
          <w:b/>
        </w:rPr>
        <w:t xml:space="preserve">2. In AI-adjacent infrastructure — carefully.</w:t>
      </w:r>
      <w:r>
        <w:t xml:space="preserve"> </w:t>
      </w:r>
      <w:r>
        <w:t xml:space="preserve">CTBC (with Bank SinoPac) is a mandated lead arranger on a</w:t>
      </w:r>
      <w:r>
        <w:t xml:space="preserve"> </w:t>
      </w:r>
      <w:r>
        <w:rPr>
          <w:b/>
        </w:rPr>
        <w:t xml:space="preserve">NT$10.35bn greenfield data-center campus loan in Taoyuan</w:t>
      </w:r>
      <w:r>
        <w:t xml:space="preserve">. But note the nuance: data-center lending appetite in Taiwan has been</w:t>
      </w:r>
      <w:r>
        <w:t xml:space="preserve"> </w:t>
      </w:r>
      <w:r>
        <w:rPr>
          <w:b/>
        </w:rPr>
        <w:t xml:space="preserve">softer than expected</w:t>
      </w:r>
      <w:r>
        <w:t xml:space="preserve">, partly because</w:t>
      </w:r>
      <w:r>
        <w:t xml:space="preserve"> </w:t>
      </w:r>
      <w:r>
        <w:rPr>
          <w:b/>
        </w:rPr>
        <w:t xml:space="preserve">Taipower has, since 2024, stopped approving electricity for new data centers of 5MW+ north of Taoyuan</w:t>
      </w:r>
      <w:r>
        <w:t xml:space="preserve"> </w:t>
      </w:r>
      <w:r>
        <w:t xml:space="preserve">due to power shortages. So CTBC is leaning into the theme but running into real, physical constraints (power, not just credit).</w:t>
      </w:r>
    </w:p>
    <w:p>
      <w:pPr>
        <w:pStyle w:val="BodyText"/>
      </w:pPr>
      <w:r>
        <w:rPr>
          <w:b/>
        </w:rPr>
        <w:t xml:space="preserve">3. As a cross-border lender across Asia.</w:t>
      </w:r>
      <w:r>
        <w:t xml:space="preserve"> </w:t>
      </w:r>
      <w:r>
        <w:t xml:space="preserve">CTBC is a lead arranger on multiple non-Taiwan deals in this very tracker:</w:t>
      </w:r>
      <w:r>
        <w:t xml:space="preserve"> </w:t>
      </w:r>
      <w:r>
        <w:rPr>
          <w:b/>
        </w:rPr>
        <w:t xml:space="preserve">sole MLAB on Macquarie Bank Europe’s €200m</w:t>
      </w:r>
      <w:r>
        <w:t xml:space="preserve">, and in the MLAB groups for</w:t>
      </w:r>
      <w:r>
        <w:t xml:space="preserve"> </w:t>
      </w:r>
      <w:r>
        <w:rPr>
          <w:b/>
        </w:rPr>
        <w:t xml:space="preserve">VPBank (US$1.44bn)</w:t>
      </w:r>
      <w:r>
        <w:t xml:space="preserve"> </w:t>
      </w:r>
      <w:r>
        <w:t xml:space="preserve">and</w:t>
      </w:r>
      <w:r>
        <w:t xml:space="preserve"> </w:t>
      </w:r>
      <w:r>
        <w:rPr>
          <w:b/>
        </w:rPr>
        <w:t xml:space="preserve">HDBank</w:t>
      </w:r>
      <w:r>
        <w:t xml:space="preserve"> </w:t>
      </w:r>
      <w:r>
        <w:t xml:space="preserve">in Vietnam. It also co-owns</w:t>
      </w:r>
      <w:r>
        <w:t xml:space="preserve"> </w:t>
      </w:r>
      <w:r>
        <w:rPr>
          <w:b/>
        </w:rPr>
        <w:t xml:space="preserve">JMX Consumer Finance</w:t>
      </w:r>
      <w:r>
        <w:t xml:space="preserve"> </w:t>
      </w:r>
      <w:r>
        <w:t xml:space="preserve">in China (with Xiamen Jinyuan). This is the</w:t>
      </w:r>
      <w:r>
        <w:t xml:space="preserve"> </w:t>
      </w:r>
      <w:r>
        <w:t xml:space="preserve">“</w:t>
      </w:r>
      <w:r>
        <w:t xml:space="preserve">Taiwanese banks venture overseas</w:t>
      </w:r>
      <w:r>
        <w:t xml:space="preserve">”</w:t>
      </w:r>
      <w:r>
        <w:t xml:space="preserve"> </w:t>
      </w:r>
      <w:r>
        <w:t xml:space="preserve">story — chasing yield in Vietnam and beyond as domestic margins compress.</w:t>
      </w:r>
    </w:p>
    <w:p>
      <w:pPr>
        <w:pStyle w:val="BlockText"/>
      </w:pPr>
      <w:r>
        <w:rPr>
          <w:b/>
        </w:rPr>
        <w:t xml:space="preserve">A point worth surfacing:</w:t>
      </w:r>
      <w:r>
        <w:t xml:space="preserve"> </w:t>
      </w:r>
      <w:r>
        <w:t xml:space="preserve">once you tally CTBC across the whole issue, its cross-border footprint is</w:t>
      </w:r>
      <w:r>
        <w:t xml:space="preserve"> </w:t>
      </w:r>
      <w:r>
        <w:rPr>
          <w:b/>
        </w:rPr>
        <w:t xml:space="preserve">materially bigger than it first looks</w:t>
      </w:r>
      <w:r>
        <w:t xml:space="preserve"> </w:t>
      </w:r>
      <w:r>
        <w:t xml:space="preserve">— a sole-MLAB mandate in Europe (Macquarie), lead roles on two large Vietnamese bank loans (VPBank, HDBank), and a Chinese consumer-finance JV (JMX). That’s a real cross-border franchise, not a one-off — a useful thing to point out to your supervisor.</w:t>
      </w:r>
    </w:p>
    <w:p>
      <w:pPr>
        <w:pStyle w:val="FirstParagraph"/>
      </w:pPr>
      <w:r>
        <w:rPr>
          <w:b/>
        </w:rPr>
        <w:t xml:space="preserve">The strategic question for CTBC:</w:t>
      </w:r>
      <w:r>
        <w:t xml:space="preserve"> </w:t>
      </w:r>
      <w:r>
        <w:t xml:space="preserve">the boom is concentrated in</w:t>
      </w:r>
      <w:r>
        <w:t xml:space="preserve"> </w:t>
      </w:r>
      <w:r>
        <w:rPr>
          <w:i/>
        </w:rPr>
        <w:t xml:space="preserve">one sector</w:t>
      </w:r>
      <w:r>
        <w:t xml:space="preserve"> </w:t>
      </w:r>
      <w:r>
        <w:t xml:space="preserve">(semis), in</w:t>
      </w:r>
      <w:r>
        <w:t xml:space="preserve"> </w:t>
      </w:r>
      <w:r>
        <w:rPr>
          <w:i/>
        </w:rPr>
        <w:t xml:space="preserve">one geography</w:t>
      </w:r>
      <w:r>
        <w:t xml:space="preserve"> </w:t>
      </w:r>
      <w:r>
        <w:t xml:space="preserve">(Taiwan), at the</w:t>
      </w:r>
      <w:r>
        <w:t xml:space="preserve"> </w:t>
      </w:r>
      <w:r>
        <w:rPr>
          <w:i/>
        </w:rPr>
        <w:t xml:space="preserve">top of a cycle</w:t>
      </w:r>
      <w:r>
        <w:t xml:space="preserve">. CTBC has the best seat in the house to win lead mandates — but also the most concentration risk if the cycle turns. How CTBC balances</w:t>
      </w:r>
      <w:r>
        <w:t xml:space="preserve"> </w:t>
      </w:r>
      <w:r>
        <w:rPr>
          <w:b/>
        </w:rPr>
        <w:t xml:space="preserve">winning league-table share now</w:t>
      </w:r>
      <w:r>
        <w:t xml:space="preserve"> </w:t>
      </w:r>
      <w:r>
        <w:t xml:space="preserve">against</w:t>
      </w:r>
      <w:r>
        <w:t xml:space="preserve"> </w:t>
      </w:r>
      <w:r>
        <w:rPr>
          <w:b/>
        </w:rPr>
        <w:t xml:space="preserve">single-sector exposure caps</w:t>
      </w:r>
      <w:r>
        <w:t xml:space="preserve"> </w:t>
      </w:r>
      <w:r>
        <w:t xml:space="preserve">is the real-world version of the</w:t>
      </w:r>
      <w:r>
        <w:t xml:space="preserve"> </w:t>
      </w:r>
      <w:r>
        <w:t xml:space="preserve">“</w:t>
      </w:r>
      <w:r>
        <w:t xml:space="preserve">tipping point</w:t>
      </w:r>
      <w:r>
        <w:t xml:space="preserve">”</w:t>
      </w:r>
      <w:r>
        <w:t xml:space="preserve"> </w:t>
      </w:r>
      <w:r>
        <w:t xml:space="preserve">debate.</w:t>
      </w:r>
    </w:p>
    <w:p>
      <w:r>
        <w:pict>
          <v:rect style="width:0;height:1.5pt" o:hralign="center" o:hrstd="t" o:hr="t"/>
        </w:pict>
      </w:r>
    </w:p>
    <w:p>
      <w:pPr>
        <w:pStyle w:val="Heading2"/>
      </w:pPr>
      <w:bookmarkStart w:id="32" w:name="Xcb8e85f96a0c75216b2480831e787514f652e42"/>
      <w:r>
        <w:t xml:space="preserve">7. Pricing trends — what’s happening to the cost of money</w:t>
      </w:r>
      <w:bookmarkEnd w:id="32"/>
    </w:p>
    <w:p>
      <w:pPr>
        <w:pStyle w:val="FirstParagraph"/>
      </w:pPr>
      <w:r>
        <w:t xml:space="preserve">For a lender,</w:t>
      </w:r>
      <w:r>
        <w:t xml:space="preserve"> </w:t>
      </w:r>
      <w:r>
        <w:rPr>
          <w:i/>
        </w:rPr>
        <w:t xml:space="preserve">price</w:t>
      </w:r>
      <w:r>
        <w:t xml:space="preserve"> </w:t>
      </w:r>
      <w:r>
        <w:t xml:space="preserve">is the whole game. What the tracker shows:</w:t>
      </w:r>
    </w:p>
    <w:p>
      <w:pPr>
        <w:pStyle w:val="BodyText"/>
      </w:pPr>
      <w:r>
        <w:rPr>
          <w:b/>
        </w:rPr>
        <w:t xml:space="preserve">1. Borrowers have the upper hand on price — for now.</w:t>
      </w:r>
      <w:r>
        <w:t xml:space="preserve"> </w:t>
      </w:r>
      <w:r>
        <w:t xml:space="preserve">Strong-credit borrowers are pushing for</w:t>
      </w:r>
      <w:r>
        <w:t xml:space="preserve"> </w:t>
      </w:r>
      <w:r>
        <w:rPr>
          <w:b/>
        </w:rPr>
        <w:t xml:space="preserve">flat-to-lower margins than 2025</w:t>
      </w:r>
      <w:r>
        <w:t xml:space="preserve">, and getting them: China Gas, KDB, SHKP and several Vietnamese banks all printed</w:t>
      </w:r>
      <w:r>
        <w:t xml:space="preserve"> </w:t>
      </w:r>
      <w:r>
        <w:rPr>
          <w:b/>
        </w:rPr>
        <w:t xml:space="preserve">tighter</w:t>
      </w:r>
      <w:r>
        <w:t xml:space="preserve"> </w:t>
      </w:r>
      <w:r>
        <w:t xml:space="preserve">than their prior deals. Heavy demand and abundant bank liquidity are compressing spreads.</w:t>
      </w:r>
    </w:p>
    <w:p>
      <w:pPr>
        <w:pStyle w:val="BodyText"/>
      </w:pPr>
      <w:r>
        <w:rPr>
          <w:b/>
        </w:rPr>
        <w:t xml:space="preserve">2. But the ground may be shifting.</w:t>
      </w:r>
      <w:r>
        <w:t xml:space="preserve"> </w:t>
      </w:r>
      <w:r>
        <w:t xml:space="preserve">The candid banker quote —</w:t>
      </w:r>
      <w:r>
        <w:t xml:space="preserve"> </w:t>
      </w:r>
      <w:r>
        <w:rPr>
          <w:i/>
        </w:rPr>
        <w:t xml:space="preserve">“</w:t>
      </w:r>
      <w:r>
        <w:rPr>
          <w:i/>
        </w:rPr>
        <w:t xml:space="preserve">with everyone scrambling for cash at once, no one knows whether the next wave will pay more</w:t>
      </w:r>
      <w:r>
        <w:rPr>
          <w:i/>
        </w:rPr>
        <w:t xml:space="preserve">”</w:t>
      </w:r>
      <w:r>
        <w:t xml:space="preserve"> </w:t>
      </w:r>
      <w:r>
        <w:t xml:space="preserve">— is the key tension. If borrowing demand keeps surging while banks hit</w:t>
      </w:r>
      <w:r>
        <w:t xml:space="preserve"> </w:t>
      </w:r>
      <w:r>
        <w:rPr>
          <w:b/>
        </w:rPr>
        <w:t xml:space="preserve">single-sector exposure caps</w:t>
      </w:r>
      <w:r>
        <w:t xml:space="preserve">, supply of bank capital tightens and</w:t>
      </w:r>
      <w:r>
        <w:t xml:space="preserve"> </w:t>
      </w:r>
      <w:r>
        <w:rPr>
          <w:b/>
        </w:rPr>
        <w:t xml:space="preserve">pricing could re-widen in H2 2026</w:t>
      </w:r>
      <w:r>
        <w:t xml:space="preserve">. Lead banks chasing volume vs. participants turning selective is a classic late-cycle standoff.</w:t>
      </w:r>
    </w:p>
    <w:p>
      <w:pPr>
        <w:pStyle w:val="BodyText"/>
      </w:pPr>
      <w:r>
        <w:rPr>
          <w:b/>
        </w:rPr>
        <w:t xml:space="preserve">3. Pricing is a credit-quality ladder.</w:t>
      </w:r>
      <w:r>
        <w:t xml:space="preserve"> </w:t>
      </w:r>
      <w:r>
        <w:t xml:space="preserve">Use the tracker to calibrate where risk sits:</w:t>
      </w:r>
      <w:r>
        <w:t xml:space="preserve"> </w:t>
      </w:r>
      <w:r>
        <w:t xml:space="preserve">-</w:t>
      </w:r>
      <w:r>
        <w:t xml:space="preserve"> </w:t>
      </w:r>
      <w:r>
        <w:rPr>
          <w:b/>
        </w:rPr>
        <w:t xml:space="preserve">Policy/again-prime banks (KDB):</w:t>
      </w:r>
      <w:r>
        <w:t xml:space="preserve"> </w:t>
      </w:r>
      <w:r>
        <w:t xml:space="preserve">~40–51bp over SOFR — the cheap, safe end.</w:t>
      </w:r>
      <w:r>
        <w:t xml:space="preserve"> </w:t>
      </w:r>
      <w:r>
        <w:t xml:space="preserve">-</w:t>
      </w:r>
      <w:r>
        <w:t xml:space="preserve"> </w:t>
      </w:r>
      <w:r>
        <w:rPr>
          <w:b/>
        </w:rPr>
        <w:t xml:space="preserve">Blue-chip property (SHKP):</w:t>
      </w:r>
      <w:r>
        <w:t xml:space="preserve"> </w:t>
      </w:r>
      <w:r>
        <w:t xml:space="preserve">~70bp all-in over Hibor.</w:t>
      </w:r>
      <w:r>
        <w:t xml:space="preserve"> </w:t>
      </w:r>
      <w:r>
        <w:t xml:space="preserve">-</w:t>
      </w:r>
      <w:r>
        <w:t xml:space="preserve"> </w:t>
      </w:r>
      <w:r>
        <w:rPr>
          <w:b/>
        </w:rPr>
        <w:t xml:space="preserve">Investment-grade corporates / strong banks:</w:t>
      </w:r>
      <w:r>
        <w:t xml:space="preserve"> </w:t>
      </w:r>
      <w:r>
        <w:t xml:space="preserve">~150–190bp over SOFR (Seaspan, VPBank, KDB subs).</w:t>
      </w:r>
      <w:r>
        <w:t xml:space="preserve"> </w:t>
      </w:r>
      <w:r>
        <w:t xml:space="preserve">-</w:t>
      </w:r>
      <w:r>
        <w:t xml:space="preserve"> </w:t>
      </w:r>
      <w:r>
        <w:rPr>
          <w:b/>
        </w:rPr>
        <w:t xml:space="preserve">Sub-investment-grade / EM banks (Vietnam, TDB):</w:t>
      </w:r>
      <w:r>
        <w:t xml:space="preserve"> </w:t>
      </w:r>
      <w:r>
        <w:t xml:space="preserve">~185–210bp+ over SOFR.</w:t>
      </w:r>
      <w:r>
        <w:t xml:space="preserve"> </w:t>
      </w:r>
      <w:r>
        <w:t xml:space="preserve">-</w:t>
      </w:r>
      <w:r>
        <w:t xml:space="preserve"> </w:t>
      </w:r>
      <w:r>
        <w:rPr>
          <w:b/>
        </w:rPr>
        <w:t xml:space="preserve">Leveraged buyout (Bain/FineToday):</w:t>
      </w:r>
      <w:r>
        <w:t xml:space="preserve"> </w:t>
      </w:r>
      <w:r>
        <w:rPr>
          <w:b/>
        </w:rPr>
        <w:t xml:space="preserve">300bp+</w:t>
      </w:r>
      <w:r>
        <w:t xml:space="preserve"> </w:t>
      </w:r>
      <w:r>
        <w:t xml:space="preserve">at 6x leverage — a different risk universe entirely.</w:t>
      </w:r>
      <w:r>
        <w:t xml:space="preserve"> </w:t>
      </w:r>
      <w:r>
        <w:t xml:space="preserve">This ladder — roughly 40bp to 300bp+ — is a great mental map of how the market prices risk.</w:t>
      </w:r>
    </w:p>
    <w:p>
      <w:pPr>
        <w:pStyle w:val="BodyText"/>
      </w:pPr>
      <w:r>
        <w:rPr>
          <w:b/>
        </w:rPr>
        <w:t xml:space="preserve">4. Structure is doing some of the pricing work.</w:t>
      </w:r>
      <w:r>
        <w:t xml:space="preserve"> </w:t>
      </w:r>
      <w:r>
        <w:t xml:space="preserve">Where margins are thin, lenders protect yield with</w:t>
      </w:r>
      <w:r>
        <w:t xml:space="preserve"> </w:t>
      </w:r>
      <w:r>
        <w:rPr>
          <w:b/>
        </w:rPr>
        <w:t xml:space="preserve">interest-rate floors</w:t>
      </w:r>
      <w:r>
        <w:t xml:space="preserve"> </w:t>
      </w:r>
      <w:r>
        <w:t xml:space="preserve">(1.7–2.0% in the Taiwan deals),</w:t>
      </w:r>
      <w:r>
        <w:t xml:space="preserve"> </w:t>
      </w:r>
      <w:r>
        <w:rPr>
          <w:b/>
        </w:rPr>
        <w:t xml:space="preserve">upfront fees</w:t>
      </w:r>
      <w:r>
        <w:t xml:space="preserve">, and</w:t>
      </w:r>
      <w:r>
        <w:t xml:space="preserve"> </w:t>
      </w:r>
      <w:r>
        <w:rPr>
          <w:b/>
        </w:rPr>
        <w:t xml:space="preserve">security/guarantees</w:t>
      </w:r>
      <w:r>
        <w:t xml:space="preserve">. And</w:t>
      </w:r>
      <w:r>
        <w:t xml:space="preserve"> </w:t>
      </w:r>
      <w:r>
        <w:rPr>
          <w:b/>
        </w:rPr>
        <w:t xml:space="preserve">sustainability-linked structures</w:t>
      </w:r>
      <w:r>
        <w:t xml:space="preserve"> </w:t>
      </w:r>
      <w:r>
        <w:t xml:space="preserve">(Foxconn, VPBank) trade a few bp of margin for ESG commitments — increasingly standard for marquee Asian borrowers.</w:t>
      </w:r>
    </w:p>
    <w:p>
      <w:r>
        <w:pict>
          <v:rect style="width:0;height:1.5pt" o:hralign="center" o:hrstd="t" o:hr="t"/>
        </w:pict>
      </w:r>
    </w:p>
    <w:p>
      <w:pPr>
        <w:pStyle w:val="Heading2"/>
      </w:pPr>
      <w:bookmarkStart w:id="33" w:name="risks-to-watch-taiwan-centric"/>
      <w:r>
        <w:t xml:space="preserve">8. Risks to watch (Taiwan-centric)</w:t>
      </w:r>
      <w:bookmarkEnd w:id="33"/>
    </w:p>
    <w:p>
      <w:pPr>
        <w:pStyle w:val="FirstParagraph"/>
      </w:pPr>
      <w:r>
        <w:t xml:space="preserve">This is where your supervisor will want you to have a point of view. The risks, roughly in order of importance for a Taiwan lender:</w:t>
      </w:r>
    </w:p>
    <w:p>
      <w:pPr>
        <w:pStyle w:val="BodyText"/>
      </w:pPr>
      <w:r>
        <w:rPr>
          <w:b/>
        </w:rPr>
        <w:t xml:space="preserve">1. AI-capex sustainability — the master risk.</w:t>
      </w:r>
      <w:r>
        <w:t xml:space="preserve"> </w:t>
      </w:r>
      <w:r>
        <w:t xml:space="preserve">The entire Taiwan lending boom is a leveraged bet that AI demand persists. But the AI build-out is funded by hyperscalers spending an estimated</w:t>
      </w:r>
      <w:r>
        <w:t xml:space="preserve"> </w:t>
      </w:r>
      <w:r>
        <w:rPr>
          <w:b/>
        </w:rPr>
        <w:t xml:space="preserve">~US$660bn of capex in 2026</w:t>
      </w:r>
      <w:r>
        <w:t xml:space="preserve"> </w:t>
      </w:r>
      <w:r>
        <w:t xml:space="preserve">(Google ~$185bn, Amazon ~$200bn, Microsoft ~$140bn, Meta ~$135bn) while their</w:t>
      </w:r>
      <w:r>
        <w:t xml:space="preserve"> </w:t>
      </w:r>
      <w:r>
        <w:rPr>
          <w:b/>
        </w:rPr>
        <w:t xml:space="preserve">revenues grow ~15% and capex grows ~80%</w:t>
      </w:r>
      <w:r>
        <w:t xml:space="preserve"> </w:t>
      </w:r>
      <w:r>
        <w:t xml:space="preserve">— capital intensity of 45–57% of revenue, historically unheard of. A leaked OpenAI revenue report in</w:t>
      </w:r>
      <w:r>
        <w:t xml:space="preserve"> </w:t>
      </w:r>
      <w:r>
        <w:rPr>
          <w:b/>
        </w:rPr>
        <w:t xml:space="preserve">April 2026 triggered a sharp AI-infrastructure stock sell-off</w:t>
      </w:r>
      <w:r>
        <w:t xml:space="preserve">, and even OpenAI’s own CFO reportedly worried about overspending.</w:t>
      </w:r>
      <w:r>
        <w:t xml:space="preserve"> </w:t>
      </w:r>
      <w:r>
        <w:rPr>
          <w:b/>
        </w:rPr>
        <w:t xml:space="preserve">If hyperscaler capex slows, the demand pull that justifies every loan in this document weakens fast.</w:t>
      </w:r>
      <w:r>
        <w:t xml:space="preserve"> </w:t>
      </w:r>
      <w:r>
        <w:t xml:space="preserve">This is the bubble-vs-rational-buildout debate, and it sits directly under CTBC’s loan book.</w:t>
      </w:r>
    </w:p>
    <w:p>
      <w:pPr>
        <w:pStyle w:val="BodyText"/>
      </w:pPr>
      <w:r>
        <w:rPr>
          <w:b/>
        </w:rPr>
        <w:t xml:space="preserve">2. Memory cyclicality.</w:t>
      </w:r>
      <w:r>
        <w:t xml:space="preserve"> </w:t>
      </w:r>
      <w:r>
        <w:t xml:space="preserve">The breakout borrowers (Macronix, Phison, Adata, Goldkey) are the</w:t>
      </w:r>
      <w:r>
        <w:t xml:space="preserve"> </w:t>
      </w:r>
      <w:r>
        <w:rPr>
          <w:i/>
        </w:rPr>
        <w:t xml:space="preserve">most</w:t>
      </w:r>
      <w:r>
        <w:t xml:space="preserve"> </w:t>
      </w:r>
      <w:r>
        <w:t xml:space="preserve">cyclical credits in semis. They’re minting money at the top of a price spike that could reverse just as violently — the same names lost money for 10+ quarters not long ago.</w:t>
      </w:r>
      <w:r>
        <w:t xml:space="preserve"> </w:t>
      </w:r>
      <w:r>
        <w:rPr>
          <w:b/>
        </w:rPr>
        <w:t xml:space="preserve">Lending into a memory upcycle to fund capacity that arrives just as prices peak is the classic memory-cycle trap.</w:t>
      </w:r>
      <w:r>
        <w:t xml:space="preserve"> </w:t>
      </w:r>
      <w:r>
        <w:t xml:space="preserve">New supply (theirs and the giants’) tends to arrive late and crush prices.</w:t>
      </w:r>
    </w:p>
    <w:p>
      <w:pPr>
        <w:pStyle w:val="BodyText"/>
      </w:pPr>
      <w:r>
        <w:rPr>
          <w:b/>
        </w:rPr>
        <w:t xml:space="preserve">3. Concentration risk.</w:t>
      </w:r>
      <w:r>
        <w:t xml:space="preserve"> </w:t>
      </w:r>
      <w:r>
        <w:t xml:space="preserve">Semiconductor loans are ~US$7.6bn of a Taiwan market that is heavily exposed to one industry. Syndicate members are</w:t>
      </w:r>
      <w:r>
        <w:t xml:space="preserve"> </w:t>
      </w:r>
      <w:r>
        <w:rPr>
          <w:i/>
        </w:rPr>
        <w:t xml:space="preserve">already</w:t>
      </w:r>
      <w:r>
        <w:t xml:space="preserve"> </w:t>
      </w:r>
      <w:r>
        <w:t xml:space="preserve">“</w:t>
      </w:r>
      <w:r>
        <w:t xml:space="preserve">capping exposure to single sectors.</w:t>
      </w:r>
      <w:r>
        <w:t xml:space="preserve">”</w:t>
      </w:r>
      <w:r>
        <w:t xml:space="preserve"> </w:t>
      </w:r>
      <w:r>
        <w:t xml:space="preserve">For CTBC specifically, the home-field advantage that lets it win chip mandates is also a</w:t>
      </w:r>
      <w:r>
        <w:t xml:space="preserve"> </w:t>
      </w:r>
      <w:r>
        <w:rPr>
          <w:b/>
        </w:rPr>
        <w:t xml:space="preserve">concentration of Taiwan + semis + AI-cycle risk</w:t>
      </w:r>
      <w:r>
        <w:t xml:space="preserve"> </w:t>
      </w:r>
      <w:r>
        <w:t xml:space="preserve">in one book. Diversification (Vietnam, etc.) is partly a response to this.</w:t>
      </w:r>
    </w:p>
    <w:p>
      <w:pPr>
        <w:pStyle w:val="BodyText"/>
      </w:pPr>
      <w:r>
        <w:rPr>
          <w:b/>
        </w:rPr>
        <w:t xml:space="preserve">4. Power and physical constraints.</w:t>
      </w:r>
      <w:r>
        <w:t xml:space="preserve"> </w:t>
      </w:r>
      <w:r>
        <w:t xml:space="preserve">AI infrastructure needs electricity Taiwan may not have.</w:t>
      </w:r>
      <w:r>
        <w:t xml:space="preserve"> </w:t>
      </w:r>
      <w:r>
        <w:rPr>
          <w:b/>
        </w:rPr>
        <w:t xml:space="preserve">Taipower halted new electricity approvals for 5MW+ data centers north of Taoyuan (since 2024)</w:t>
      </w:r>
      <w:r>
        <w:t xml:space="preserve">, and data-center loan appetite has been softer than the chip frenzy. Power, water, land and grid limits can stall the very projects the loans fund.</w:t>
      </w:r>
    </w:p>
    <w:p>
      <w:pPr>
        <w:pStyle w:val="BodyText"/>
      </w:pPr>
      <w:r>
        <w:rPr>
          <w:b/>
        </w:rPr>
        <w:t xml:space="preserve">5. Geopolitics.</w:t>
      </w:r>
      <w:r>
        <w:t xml:space="preserve"> </w:t>
      </w:r>
      <w:r>
        <w:t xml:space="preserve">Taiwan concentration carries cross-strait and US-China tech-war tail risk that no spread fully compensates — export controls, supply-chain bifurcation, and the obvious strategic risk of the world’s most critical chip supply sitting on one island.</w:t>
      </w:r>
    </w:p>
    <w:p>
      <w:pPr>
        <w:pStyle w:val="BodyText"/>
      </w:pPr>
      <w:r>
        <w:rPr>
          <w:b/>
        </w:rPr>
        <w:t xml:space="preserve">6. Refinancing / rate &amp; FX risk.</w:t>
      </w:r>
      <w:r>
        <w:t xml:space="preserve"> </w:t>
      </w:r>
      <w:r>
        <w:t xml:space="preserve">Many deals are short-tenor and will need to be</w:t>
      </w:r>
      <w:r>
        <w:t xml:space="preserve"> </w:t>
      </w:r>
      <w:r>
        <w:rPr>
          <w:i/>
        </w:rPr>
        <w:t xml:space="preserve">refinanced</w:t>
      </w:r>
      <w:r>
        <w:t xml:space="preserve"> </w:t>
      </w:r>
      <w:r>
        <w:t xml:space="preserve">into whatever the H2 2026 (and 2027) market looks like — if pricing widens or appetite cools, rollover gets expensive. USD-tranche borrowers (priced over SOFR) carry rate and currency risk against NT$ revenue.</w:t>
      </w:r>
    </w:p>
    <w:p>
      <w:pPr>
        <w:pStyle w:val="BodyText"/>
      </w:pPr>
      <w:r>
        <w:rPr>
          <w:b/>
        </w:rPr>
        <w:t xml:space="preserve">7.</w:t>
      </w:r>
      <w:r>
        <w:rPr>
          <w:b/>
        </w:rPr>
        <w:t xml:space="preserve"> </w:t>
      </w:r>
      <w:r>
        <w:rPr>
          <w:b/>
        </w:rPr>
        <w:t xml:space="preserve">“</w:t>
      </w:r>
      <w:r>
        <w:rPr>
          <w:b/>
        </w:rPr>
        <w:t xml:space="preserve">Walking dead</w:t>
      </w:r>
      <w:r>
        <w:rPr>
          <w:b/>
        </w:rPr>
        <w:t xml:space="preserve">”</w:t>
      </w:r>
      <w:r>
        <w:rPr>
          <w:b/>
        </w:rPr>
        <w:t xml:space="preserve"> </w:t>
      </w:r>
      <w:r>
        <w:rPr>
          <w:b/>
        </w:rPr>
        <w:t xml:space="preserve">credit quality.</w:t>
      </w:r>
      <w:r>
        <w:t xml:space="preserve"> </w:t>
      </w:r>
      <w:r>
        <w:t xml:space="preserve">The report’s own phrase. Some borrowers now able to raise debut syndications were, until recently, marginal credits. A discerning lender separates the structurally improved from the cyclically lucky.</w:t>
      </w:r>
    </w:p>
    <w:p>
      <w:r>
        <w:pict>
          <v:rect style="width:0;height:1.5pt" o:hralign="center" o:hrstd="t" o:hr="t"/>
        </w:pict>
      </w:r>
    </w:p>
    <w:p>
      <w:pPr>
        <w:pStyle w:val="Heading2"/>
      </w:pPr>
      <w:bookmarkStart w:id="34" w:name="X8ce89531bf01bfd318836831039854a8159f812"/>
      <w:r>
        <w:t xml:space="preserve">9. Thoughts &amp; ideas for the supervisor discussion</w:t>
      </w:r>
      <w:bookmarkEnd w:id="34"/>
    </w:p>
    <w:p>
      <w:pPr>
        <w:pStyle w:val="FirstParagraph"/>
      </w:pPr>
      <w:r>
        <w:t xml:space="preserve">Bring these as talking points and questions — they show you read past the headline and thought like a lender.</w:t>
      </w:r>
    </w:p>
    <w:p>
      <w:pPr>
        <w:pStyle w:val="BodyText"/>
      </w:pPr>
      <w:r>
        <w:rPr>
          <w:b/>
        </w:rPr>
        <w:t xml:space="preserve">Observations to lead with</w:t>
      </w:r>
      <w:r>
        <w:t xml:space="preserve"> </w:t>
      </w:r>
      <w:r>
        <w:t xml:space="preserve">- The most interesting credit story isn’t the obvious AI winners — it’s the</w:t>
      </w:r>
      <w:r>
        <w:t xml:space="preserve"> </w:t>
      </w:r>
      <w:r>
        <w:rPr>
          <w:b/>
        </w:rPr>
        <w:t xml:space="preserve">memory names going from</w:t>
      </w:r>
      <w:r>
        <w:rPr>
          <w:b/>
        </w:rPr>
        <w:t xml:space="preserve"> </w:t>
      </w:r>
      <w:r>
        <w:rPr>
          <w:b/>
        </w:rPr>
        <w:t xml:space="preserve">“</w:t>
      </w:r>
      <w:r>
        <w:rPr>
          <w:b/>
        </w:rPr>
        <w:t xml:space="preserve">walking dead</w:t>
      </w:r>
      <w:r>
        <w:rPr>
          <w:b/>
        </w:rPr>
        <w:t xml:space="preserve">”</w:t>
      </w:r>
      <w:r>
        <w:rPr>
          <w:b/>
        </w:rPr>
        <w:t xml:space="preserve"> </w:t>
      </w:r>
      <w:r>
        <w:rPr>
          <w:b/>
        </w:rPr>
        <w:t xml:space="preserve">to</w:t>
      </w:r>
      <w:r>
        <w:rPr>
          <w:b/>
        </w:rPr>
        <w:t xml:space="preserve"> </w:t>
      </w:r>
      <w:r>
        <w:rPr>
          <w:b/>
        </w:rPr>
        <w:t xml:space="preserve">“</w:t>
      </w:r>
      <w:r>
        <w:rPr>
          <w:b/>
        </w:rPr>
        <w:t xml:space="preserve">minting money,</w:t>
      </w:r>
      <w:r>
        <w:rPr>
          <w:b/>
        </w:rPr>
        <w:t xml:space="preserve">”</w:t>
      </w:r>
      <w:r>
        <w:t xml:space="preserve"> </w:t>
      </w:r>
      <w:r>
        <w:t xml:space="preserve">and whether that’s a durable re-rating or a cyclical head-fake.</w:t>
      </w:r>
      <w:r>
        <w:t xml:space="preserve"> </w:t>
      </w:r>
      <w:r>
        <w:rPr>
          <w:i/>
        </w:rPr>
        <w:t xml:space="preserve">That</w:t>
      </w:r>
      <w:r>
        <w:t xml:space="preserve"> </w:t>
      </w:r>
      <w:r>
        <w:t xml:space="preserve">is the real underwriting debate.</w:t>
      </w:r>
      <w:r>
        <w:t xml:space="preserve"> </w:t>
      </w:r>
      <w:r>
        <w:t xml:space="preserve">-</w:t>
      </w:r>
      <w:r>
        <w:t xml:space="preserve"> </w:t>
      </w:r>
      <w:r>
        <w:rPr>
          <w:b/>
        </w:rPr>
        <w:t xml:space="preserve">Foxconn borrowing despite being cash-rich</w:t>
      </w:r>
      <w:r>
        <w:t xml:space="preserve"> </w:t>
      </w:r>
      <w:r>
        <w:t xml:space="preserve">is a tell: in this environment, strategic debt beats holding cash. What does that say about where management teams think rates and opportunities are heading?</w:t>
      </w:r>
      <w:r>
        <w:t xml:space="preserve"> </w:t>
      </w:r>
      <w:r>
        <w:t xml:space="preserve">- The market is quietly</w:t>
      </w:r>
      <w:r>
        <w:t xml:space="preserve"> </w:t>
      </w:r>
      <w:r>
        <w:rPr>
          <w:b/>
        </w:rPr>
        <w:t xml:space="preserve">two-tier</w:t>
      </w:r>
      <w:r>
        <w:t xml:space="preserve">: lead banks chasing volume, participants quietly capping sector exposure. The pricing standoff between them is the single best forward indicator in the document.</w:t>
      </w:r>
    </w:p>
    <w:p>
      <w:pPr>
        <w:pStyle w:val="BodyText"/>
      </w:pPr>
      <w:r>
        <w:rPr>
          <w:b/>
        </w:rPr>
        <w:t xml:space="preserve">Questions to ask your supervisor (these make you look sharp)</w:t>
      </w:r>
      <w:r>
        <w:t xml:space="preserve"> </w:t>
      </w:r>
      <w:r>
        <w:t xml:space="preserve">1.</w:t>
      </w:r>
      <w:r>
        <w:t xml:space="preserve"> </w:t>
      </w:r>
      <w:r>
        <w:rPr>
          <w:i/>
        </w:rPr>
        <w:t xml:space="preserve">How is CTBC thinking about single-sector (semiconductor) exposure caps as the AI loan wave accelerates — are we leaning in to win league-table share, or starting to be selective like the participant banks in this report?</w:t>
      </w:r>
      <w:r>
        <w:t xml:space="preserve"> </w:t>
      </w:r>
      <w:r>
        <w:t xml:space="preserve">2.</w:t>
      </w:r>
      <w:r>
        <w:t xml:space="preserve"> </w:t>
      </w:r>
      <w:r>
        <w:rPr>
          <w:i/>
        </w:rPr>
        <w:t xml:space="preserve">On the memory names specifically (Macronix, Phison, Adata) — how do we underwrite a borrower that was loss-making for 10 quarters and is now hugely profitable? What through-cycle assumptions do we use?</w:t>
      </w:r>
      <w:r>
        <w:t xml:space="preserve"> </w:t>
      </w:r>
      <w:r>
        <w:t xml:space="preserve">3.</w:t>
      </w:r>
      <w:r>
        <w:t xml:space="preserve"> </w:t>
      </w:r>
      <w:r>
        <w:rPr>
          <w:i/>
        </w:rPr>
        <w:t xml:space="preserve">We’re sole MLAB on Macquarie Europe and a lead on VPBank and HDBank — how do we think about the risk/return of chasing yield in Vietnam and cross-border versus deepening our Taiwan franchise?</w:t>
      </w:r>
      <w:r>
        <w:t xml:space="preserve"> </w:t>
      </w:r>
      <w:r>
        <w:t xml:space="preserve">4.</w:t>
      </w:r>
      <w:r>
        <w:t xml:space="preserve"> </w:t>
      </w:r>
      <w:r>
        <w:rPr>
          <w:i/>
        </w:rPr>
        <w:t xml:space="preserve">Given Taipower’s data-center power constraints, how real is the Taiwan data-center lending opportunity versus the chip-capex opportunity?</w:t>
      </w:r>
      <w:r>
        <w:t xml:space="preserve"> </w:t>
      </w:r>
      <w:r>
        <w:t xml:space="preserve">5.</w:t>
      </w:r>
      <w:r>
        <w:t xml:space="preserve"> </w:t>
      </w:r>
      <w:r>
        <w:rPr>
          <w:i/>
        </w:rPr>
        <w:t xml:space="preserve">If H2 2026 is the</w:t>
      </w:r>
      <w:r>
        <w:rPr>
          <w:i/>
        </w:rPr>
        <w:t xml:space="preserve"> </w:t>
      </w:r>
      <w:r>
        <w:rPr>
          <w:i/>
        </w:rPr>
        <w:t xml:space="preserve">“</w:t>
      </w:r>
      <w:r>
        <w:rPr>
          <w:i/>
        </w:rPr>
        <w:t xml:space="preserve">tipping point,</w:t>
      </w:r>
      <w:r>
        <w:rPr>
          <w:i/>
        </w:rPr>
        <w:t xml:space="preserve">”</w:t>
      </w:r>
      <w:r>
        <w:rPr>
          <w:i/>
        </w:rPr>
        <w:t xml:space="preserve"> </w:t>
      </w:r>
      <w:r>
        <w:rPr>
          <w:i/>
        </w:rPr>
        <w:t xml:space="preserve">what’s our playbook — do we want to be the lead getting deals done fast, or the participant waiting for wider pricing?</w:t>
      </w:r>
    </w:p>
    <w:p>
      <w:pPr>
        <w:pStyle w:val="BodyText"/>
      </w:pPr>
      <w:r>
        <w:rPr>
          <w:b/>
        </w:rPr>
        <w:t xml:space="preserve">A contrarian angle to test (good for discussion)</w:t>
      </w:r>
      <w:r>
        <w:t xml:space="preserve"> </w:t>
      </w:r>
      <w:r>
        <w:t xml:space="preserve">- Everyone is positioned for the boom to continue. The asymmetric risk is therefore on the</w:t>
      </w:r>
      <w:r>
        <w:t xml:space="preserve"> </w:t>
      </w:r>
      <w:r>
        <w:rPr>
          <w:i/>
        </w:rPr>
        <w:t xml:space="preserve">downside</w:t>
      </w:r>
      <w:r>
        <w:t xml:space="preserve">: if AI capex even</w:t>
      </w:r>
      <w:r>
        <w:t xml:space="preserve"> </w:t>
      </w:r>
      <w:r>
        <w:rPr>
          <w:i/>
        </w:rPr>
        <w:t xml:space="preserve">decelerates</w:t>
      </w:r>
      <w:r>
        <w:t xml:space="preserve">, the most-leveraged, most-cyclical borrowers (memory) reprice first, and a book concentrated in Taiwan semis feels it first.</w:t>
      </w:r>
      <w:r>
        <w:t xml:space="preserve"> </w:t>
      </w:r>
      <w:r>
        <w:rPr>
          <w:b/>
        </w:rPr>
        <w:t xml:space="preserve">Is the prudent move to win the mandates but syndicate down the hold — capture fees, limit balance-sheet exposure?</w:t>
      </w:r>
      <w:r>
        <w:t xml:space="preserve"> </w:t>
      </w:r>
      <w:r>
        <w:t xml:space="preserve">That’s a sophisticated lender’s answer to a top-of-cycle boom.</w:t>
      </w:r>
    </w:p>
    <w:p>
      <w:pPr>
        <w:pStyle w:val="BodyText"/>
      </w:pPr>
      <w:r>
        <w:rPr>
          <w:b/>
        </w:rPr>
        <w:t xml:space="preserve">A simple framework to offer</w:t>
      </w:r>
      <w:r>
        <w:t xml:space="preserve"> </w:t>
      </w:r>
      <w:r>
        <w:t xml:space="preserve">- For any borrower in this document, sort it on two axes:</w:t>
      </w:r>
      <w:r>
        <w:t xml:space="preserve"> </w:t>
      </w:r>
      <w:r>
        <w:rPr>
          <w:b/>
        </w:rPr>
        <w:t xml:space="preserve">(a) is the credit improvement structural or cyclical?</w:t>
      </w:r>
      <w:r>
        <w:t xml:space="preserve"> </w:t>
      </w:r>
      <w:r>
        <w:t xml:space="preserve">and</w:t>
      </w:r>
      <w:r>
        <w:t xml:space="preserve"> </w:t>
      </w:r>
      <w:r>
        <w:rPr>
          <w:b/>
        </w:rPr>
        <w:t xml:space="preserve">(b) where in the value chain does it sit (closer to durable demand like packaging/foundry, or to volatile commodity pricing like memory)?</w:t>
      </w:r>
      <w:r>
        <w:t xml:space="preserve"> </w:t>
      </w:r>
      <w:r>
        <w:t xml:space="preserve">Packaging/foundry (ASE, TSMC) = more durable; commodity memory = more cyclical. That 2x2 organizes the whole opportunity set.</w:t>
      </w:r>
    </w:p>
    <w:p>
      <w:r>
        <w:pict>
          <v:rect style="width:0;height:1.5pt" o:hralign="center" o:hrstd="t" o:hr="t"/>
        </w:pict>
      </w:r>
    </w:p>
    <w:p>
      <w:pPr>
        <w:pStyle w:val="Heading2"/>
      </w:pPr>
      <w:bookmarkStart w:id="35" w:name="glossary-quick-reference"/>
      <w:r>
        <w:t xml:space="preserve">10. Glossary quick-reference</w:t>
      </w:r>
      <w:bookmarkEnd w:id="3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t xml:space="preserve">Syndicated loan</w:t>
            </w:r>
          </w:p>
        </w:tc>
        <w:tc>
          <w:p>
            <w:pPr>
              <w:pStyle w:val="Compact"/>
              <w:jc w:val="left"/>
            </w:pPr>
            <w:r>
              <w:t xml:space="preserve">One large loan funded by a group of banks</w:t>
            </w:r>
          </w:p>
        </w:tc>
      </w:tr>
      <w:tr>
        <w:tc>
          <w:p>
            <w:pPr>
              <w:pStyle w:val="Compact"/>
              <w:jc w:val="left"/>
            </w:pPr>
            <w:r>
              <w:t xml:space="preserve">MLAB</w:t>
            </w:r>
          </w:p>
        </w:tc>
        <w:tc>
          <w:p>
            <w:pPr>
              <w:pStyle w:val="Compact"/>
              <w:jc w:val="left"/>
            </w:pPr>
            <w:r>
              <w:t xml:space="preserve">Mandated Lead Arranger &amp; Bookrunner — top role, structures &amp; sells the deal</w:t>
            </w:r>
          </w:p>
        </w:tc>
      </w:tr>
      <w:tr>
        <w:tc>
          <w:p>
            <w:pPr>
              <w:pStyle w:val="Compact"/>
              <w:jc w:val="left"/>
            </w:pPr>
            <w:r>
              <w:t xml:space="preserve">MLA / Arranger</w:t>
            </w:r>
          </w:p>
        </w:tc>
        <w:tc>
          <w:p>
            <w:pPr>
              <w:pStyle w:val="Compact"/>
              <w:jc w:val="left"/>
            </w:pPr>
            <w:r>
              <w:t xml:space="preserve">Lower participation tiers; title scales with commitment size</w:t>
            </w:r>
          </w:p>
        </w:tc>
      </w:tr>
      <w:tr>
        <w:tc>
          <w:p>
            <w:pPr>
              <w:pStyle w:val="Compact"/>
              <w:jc w:val="left"/>
            </w:pPr>
            <w:r>
              <w:t xml:space="preserve">Coordinator / Agent</w:t>
            </w:r>
          </w:p>
        </w:tc>
        <w:tc>
          <w:p>
            <w:pPr>
              <w:pStyle w:val="Compact"/>
              <w:jc w:val="left"/>
            </w:pPr>
            <w:r>
              <w:t xml:space="preserve">Runs the syndication / administers the loan post-signing</w:t>
            </w:r>
          </w:p>
        </w:tc>
      </w:tr>
      <w:tr>
        <w:tc>
          <w:p>
            <w:pPr>
              <w:pStyle w:val="Compact"/>
              <w:jc w:val="left"/>
            </w:pPr>
            <w:r>
              <w:t xml:space="preserve">Underwriter</w:t>
            </w:r>
          </w:p>
        </w:tc>
        <w:tc>
          <w:p>
            <w:pPr>
              <w:pStyle w:val="Compact"/>
              <w:jc w:val="left"/>
            </w:pPr>
            <w:r>
              <w:t xml:space="preserve">Guarantees the amount even if the deal isn’t fully sold</w:t>
            </w:r>
          </w:p>
        </w:tc>
      </w:tr>
      <w:tr>
        <w:tc>
          <w:p>
            <w:pPr>
              <w:pStyle w:val="Compact"/>
              <w:jc w:val="left"/>
            </w:pPr>
            <w:r>
              <w:t xml:space="preserve">Tranche</w:t>
            </w:r>
          </w:p>
        </w:tc>
        <w:tc>
          <w:p>
            <w:pPr>
              <w:pStyle w:val="Compact"/>
              <w:jc w:val="left"/>
            </w:pPr>
            <w:r>
              <w:t xml:space="preserve">A slice of a loan with its own terms/currency</w:t>
            </w:r>
          </w:p>
        </w:tc>
      </w:tr>
      <w:tr>
        <w:tc>
          <w:p>
            <w:pPr>
              <w:pStyle w:val="Compact"/>
              <w:jc w:val="left"/>
            </w:pPr>
            <w:r>
              <w:t xml:space="preserve">Term loan</w:t>
            </w:r>
          </w:p>
        </w:tc>
        <w:tc>
          <w:p>
            <w:pPr>
              <w:pStyle w:val="Compact"/>
              <w:jc w:val="left"/>
            </w:pPr>
            <w:r>
              <w:t xml:space="preserve">Borrowed once, repaid on schedule</w:t>
            </w:r>
          </w:p>
        </w:tc>
      </w:tr>
      <w:tr>
        <w:tc>
          <w:p>
            <w:pPr>
              <w:pStyle w:val="Compact"/>
              <w:jc w:val="left"/>
            </w:pPr>
            <w:r>
              <w:t xml:space="preserve">RCF / revolver</w:t>
            </w:r>
          </w:p>
        </w:tc>
        <w:tc>
          <w:p>
            <w:pPr>
              <w:pStyle w:val="Compact"/>
              <w:jc w:val="left"/>
            </w:pPr>
            <w:r>
              <w:t xml:space="preserve">Draw-repay-redraw credit line (like a corporate credit card)</w:t>
            </w:r>
          </w:p>
        </w:tc>
      </w:tr>
      <w:tr>
        <w:tc>
          <w:p>
            <w:pPr>
              <w:pStyle w:val="Compact"/>
              <w:jc w:val="left"/>
            </w:pPr>
            <w:r>
              <w:t xml:space="preserve">Bullet / amortising</w:t>
            </w:r>
          </w:p>
        </w:tc>
        <w:tc>
          <w:p>
            <w:pPr>
              <w:pStyle w:val="Compact"/>
              <w:jc w:val="left"/>
            </w:pPr>
            <w:r>
              <w:t xml:space="preserve">Repaid all at end / paid down over time</w:t>
            </w:r>
          </w:p>
        </w:tc>
      </w:tr>
      <w:tr>
        <w:tc>
          <w:p>
            <w:pPr>
              <w:pStyle w:val="Compact"/>
              <w:jc w:val="left"/>
            </w:pPr>
            <w:r>
              <w:t xml:space="preserve">Tenor</w:t>
            </w:r>
          </w:p>
        </w:tc>
        <w:tc>
          <w:p>
            <w:pPr>
              <w:pStyle w:val="Compact"/>
              <w:jc w:val="left"/>
            </w:pPr>
            <w:r>
              <w:t xml:space="preserve">Length of the loan</w:t>
            </w:r>
          </w:p>
        </w:tc>
      </w:tr>
      <w:tr>
        <w:tc>
          <w:p>
            <w:pPr>
              <w:pStyle w:val="Compact"/>
              <w:jc w:val="left"/>
            </w:pPr>
            <w:r>
              <w:t xml:space="preserve">Average life</w:t>
            </w:r>
          </w:p>
        </w:tc>
        <w:tc>
          <w:p>
            <w:pPr>
              <w:pStyle w:val="Compact"/>
              <w:jc w:val="left"/>
            </w:pPr>
            <w:r>
              <w:t xml:space="preserve">Average time the principal is actually outstanding</w:t>
            </w:r>
          </w:p>
        </w:tc>
      </w:tr>
      <w:tr>
        <w:tc>
          <w:p>
            <w:pPr>
              <w:pStyle w:val="Compact"/>
              <w:jc w:val="left"/>
            </w:pPr>
            <w:r>
              <w:t xml:space="preserve">Margin / spread</w:t>
            </w:r>
          </w:p>
        </w:tc>
        <w:tc>
          <w:p>
            <w:pPr>
              <w:pStyle w:val="Compact"/>
              <w:jc w:val="left"/>
            </w:pPr>
            <w:r>
              <w:t xml:space="preserve">Interest above the benchmark, in bp (100bp = 1%)</w:t>
            </w:r>
          </w:p>
        </w:tc>
      </w:tr>
      <w:tr>
        <w:tc>
          <w:p>
            <w:pPr>
              <w:pStyle w:val="Compact"/>
              <w:jc w:val="left"/>
            </w:pPr>
            <w:r>
              <w:t xml:space="preserve">bp (basis point)</w:t>
            </w:r>
          </w:p>
        </w:tc>
        <w:tc>
          <w:p>
            <w:pPr>
              <w:pStyle w:val="Compact"/>
              <w:jc w:val="left"/>
            </w:pPr>
            <w:r>
              <w:t xml:space="preserve">0.01%</w:t>
            </w:r>
          </w:p>
        </w:tc>
      </w:tr>
      <w:tr>
        <w:tc>
          <w:p>
            <w:pPr>
              <w:pStyle w:val="Compact"/>
              <w:jc w:val="left"/>
            </w:pPr>
            <w:r>
              <w:t xml:space="preserve">All-in pricing</w:t>
            </w:r>
          </w:p>
        </w:tc>
        <w:tc>
          <w:p>
            <w:pPr>
              <w:pStyle w:val="Compact"/>
              <w:jc w:val="left"/>
            </w:pPr>
            <w:r>
              <w:t xml:space="preserve">Margin + annualized fees = total lender yield</w:t>
            </w:r>
          </w:p>
        </w:tc>
      </w:tr>
      <w:tr>
        <w:tc>
          <w:p>
            <w:pPr>
              <w:pStyle w:val="Compact"/>
              <w:jc w:val="left"/>
            </w:pPr>
            <w:r>
              <w:t xml:space="preserve">Upfront / participation fee</w:t>
            </w:r>
          </w:p>
        </w:tc>
        <w:tc>
          <w:p>
            <w:pPr>
              <w:pStyle w:val="Compact"/>
              <w:jc w:val="left"/>
            </w:pPr>
            <w:r>
              <w:t xml:space="preserve">One-time fee for joining, scaled by ticket</w:t>
            </w:r>
          </w:p>
        </w:tc>
      </w:tr>
      <w:tr>
        <w:tc>
          <w:p>
            <w:pPr>
              <w:pStyle w:val="Compact"/>
              <w:jc w:val="left"/>
            </w:pPr>
            <w:r>
              <w:t xml:space="preserve">Interest-rate floor</w:t>
            </w:r>
          </w:p>
        </w:tc>
        <w:tc>
          <w:p>
            <w:pPr>
              <w:pStyle w:val="Compact"/>
              <w:jc w:val="left"/>
            </w:pPr>
            <w:r>
              <w:t xml:space="preserve">Minimum rate even if benchmark falls</w:t>
            </w:r>
          </w:p>
        </w:tc>
      </w:tr>
      <w:tr>
        <w:tc>
          <w:p>
            <w:pPr>
              <w:pStyle w:val="Compact"/>
              <w:jc w:val="left"/>
            </w:pPr>
            <w:r>
              <w:t xml:space="preserve">Greenshoe / accordion</w:t>
            </w:r>
          </w:p>
        </w:tc>
        <w:tc>
          <w:p>
            <w:pPr>
              <w:pStyle w:val="Compact"/>
              <w:jc w:val="left"/>
            </w:pPr>
            <w:r>
              <w:t xml:space="preserve">Option to upsize the loan if demand is strong</w:t>
            </w:r>
          </w:p>
        </w:tc>
      </w:tr>
      <w:tr>
        <w:tc>
          <w:p>
            <w:pPr>
              <w:pStyle w:val="Compact"/>
              <w:jc w:val="left"/>
            </w:pPr>
            <w:r>
              <w:t xml:space="preserve">SLL</w:t>
            </w:r>
          </w:p>
        </w:tc>
        <w:tc>
          <w:p>
            <w:pPr>
              <w:pStyle w:val="Compact"/>
              <w:jc w:val="left"/>
            </w:pPr>
            <w:r>
              <w:t xml:space="preserve">Sustainability-Linked Loan (pricing steps on ESG targets)</w:t>
            </w:r>
          </w:p>
        </w:tc>
      </w:tr>
      <w:tr>
        <w:tc>
          <w:p>
            <w:pPr>
              <w:pStyle w:val="Compact"/>
              <w:jc w:val="left"/>
            </w:pPr>
            <w:r>
              <w:t xml:space="preserve">Club loan</w:t>
            </w:r>
          </w:p>
        </w:tc>
        <w:tc>
          <w:p>
            <w:pPr>
              <w:pStyle w:val="Compact"/>
              <w:jc w:val="left"/>
            </w:pPr>
            <w:r>
              <w:t xml:space="preserve">Small deal among relationship banks, no broad syndication</w:t>
            </w:r>
          </w:p>
        </w:tc>
      </w:tr>
      <w:tr>
        <w:tc>
          <w:p>
            <w:pPr>
              <w:pStyle w:val="Compact"/>
              <w:jc w:val="left"/>
            </w:pPr>
            <w:r>
              <w:t xml:space="preserve">General syndication</w:t>
            </w:r>
          </w:p>
        </w:tc>
        <w:tc>
          <w:p>
            <w:pPr>
              <w:pStyle w:val="Compact"/>
              <w:jc w:val="left"/>
            </w:pPr>
            <w:r>
              <w:t xml:space="preserve">Phase of inviting the broader bank market</w:t>
            </w:r>
          </w:p>
        </w:tc>
      </w:tr>
      <w:tr>
        <w:tc>
          <w:p>
            <w:pPr>
              <w:pStyle w:val="Compact"/>
              <w:jc w:val="left"/>
            </w:pPr>
            <w:r>
              <w:t xml:space="preserve">SOFR / Taibor / Taifx / Hibor</w:t>
            </w:r>
          </w:p>
        </w:tc>
        <w:tc>
          <w:p>
            <w:pPr>
              <w:pStyle w:val="Compact"/>
              <w:jc w:val="left"/>
            </w:pPr>
            <w:r>
              <w:t xml:space="preserve">USD / TWD / TWD-USD / HKD benchmark rates</w:t>
            </w:r>
          </w:p>
        </w:tc>
      </w:tr>
      <w:tr>
        <w:tc>
          <w:p>
            <w:pPr>
              <w:pStyle w:val="Compact"/>
              <w:jc w:val="left"/>
            </w:pPr>
            <w:r>
              <w:t xml:space="preserve">OSAT</w:t>
            </w:r>
          </w:p>
        </w:tc>
        <w:tc>
          <w:p>
            <w:pPr>
              <w:pStyle w:val="Compact"/>
              <w:jc w:val="left"/>
            </w:pPr>
            <w:r>
              <w:t xml:space="preserve">Outsourced Semiconductor Assembly &amp; Test (ASE’s business)</w:t>
            </w:r>
          </w:p>
        </w:tc>
      </w:tr>
      <w:tr>
        <w:tc>
          <w:p>
            <w:pPr>
              <w:pStyle w:val="Compact"/>
              <w:jc w:val="left"/>
            </w:pPr>
            <w:r>
              <w:t xml:space="preserve">CoWoS</w:t>
            </w:r>
          </w:p>
        </w:tc>
        <w:tc>
          <w:p>
            <w:pPr>
              <w:pStyle w:val="Compact"/>
              <w:jc w:val="left"/>
            </w:pPr>
            <w:r>
              <w:t xml:space="preserve">Advanced packaging that integrates GPU + HBM</w:t>
            </w:r>
          </w:p>
        </w:tc>
      </w:tr>
      <w:tr>
        <w:tc>
          <w:p>
            <w:pPr>
              <w:pStyle w:val="Compact"/>
              <w:jc w:val="left"/>
            </w:pPr>
            <w:r>
              <w:t xml:space="preserve">HBM</w:t>
            </w:r>
          </w:p>
        </w:tc>
        <w:tc>
          <w:p>
            <w:pPr>
              <w:pStyle w:val="Compact"/>
              <w:jc w:val="left"/>
            </w:pPr>
            <w:r>
              <w:t xml:space="preserve">High-Bandwidth Memory — the AI-GPU memory crowding out conventional DRAM</w:t>
            </w:r>
          </w:p>
        </w:tc>
      </w:tr>
    </w:tbl>
    <w:p>
      <w:r>
        <w:pict>
          <v:rect style="width:0;height:1.5pt" o:hralign="center" o:hrstd="t" o:hr="t"/>
        </w:pict>
      </w:r>
    </w:p>
    <w:p>
      <w:pPr>
        <w:pStyle w:val="Heading2"/>
      </w:pPr>
      <w:bookmarkStart w:id="36" w:name="sources"/>
      <w:r>
        <w:t xml:space="preserve">Sources</w:t>
      </w:r>
      <w:bookmarkEnd w:id="36"/>
    </w:p>
    <w:p>
      <w:pPr>
        <w:numPr>
          <w:ilvl w:val="0"/>
          <w:numId w:val="1004"/>
        </w:numPr>
        <w:pStyle w:val="Compact"/>
      </w:pPr>
      <w:r>
        <w:t xml:space="preserve">IFR (LSEG) —</w:t>
      </w:r>
      <w:r>
        <w:t xml:space="preserve"> </w:t>
      </w:r>
      <w:r>
        <w:rPr>
          <w:i/>
        </w:rPr>
        <w:t xml:space="preserve">AI boom drives Taiwan lending</w:t>
      </w:r>
      <w:r>
        <w:t xml:space="preserve"> </w:t>
      </w:r>
      <w:r>
        <w:t xml:space="preserve">(the source document): https://www.ifre.com/loans/2441405/ai-boom-drives-taiwan-lending</w:t>
      </w:r>
    </w:p>
    <w:p>
      <w:pPr>
        <w:numPr>
          <w:ilvl w:val="0"/>
          <w:numId w:val="1004"/>
        </w:numPr>
        <w:pStyle w:val="Compact"/>
      </w:pPr>
      <w:r>
        <w:t xml:space="preserve">IFR (LSEG) —</w:t>
      </w:r>
      <w:r>
        <w:t xml:space="preserve"> </w:t>
      </w:r>
      <w:r>
        <w:rPr>
          <w:i/>
        </w:rPr>
        <w:t xml:space="preserve">Taiwan banks weigh data centre risks</w:t>
      </w:r>
      <w:r>
        <w:t xml:space="preserve">: https://www.ifre.com/loans/2347977/taiwan-banks-weigh-data-centre-risks</w:t>
      </w:r>
    </w:p>
    <w:p>
      <w:pPr>
        <w:numPr>
          <w:ilvl w:val="0"/>
          <w:numId w:val="1004"/>
        </w:numPr>
        <w:pStyle w:val="Compact"/>
      </w:pPr>
      <w:r>
        <w:t xml:space="preserve">IFR (LSEG) —</w:t>
      </w:r>
      <w:r>
        <w:t xml:space="preserve"> </w:t>
      </w:r>
      <w:r>
        <w:rPr>
          <w:i/>
        </w:rPr>
        <w:t xml:space="preserve">Taiwan Loan House: CTBC Bank</w:t>
      </w:r>
      <w:r>
        <w:t xml:space="preserve">: https://www.ifre.com/ifr-awards/1443022/taiwan-loan-house-ctbc-bank</w:t>
      </w:r>
    </w:p>
    <w:p>
      <w:pPr>
        <w:numPr>
          <w:ilvl w:val="0"/>
          <w:numId w:val="1004"/>
        </w:numPr>
        <w:pStyle w:val="Compact"/>
      </w:pPr>
      <w:r>
        <w:t xml:space="preserve">Focus Taiwan —</w:t>
      </w:r>
      <w:r>
        <w:t xml:space="preserve"> </w:t>
      </w:r>
      <w:r>
        <w:rPr>
          <w:i/>
        </w:rPr>
        <w:t xml:space="preserve">Supermicro secures 1st syndicated loan in Taiwan</w:t>
      </w:r>
      <w:r>
        <w:t xml:space="preserve">: https://focustaiwan.tw/business/202602090017</w:t>
      </w:r>
    </w:p>
    <w:p>
      <w:pPr>
        <w:numPr>
          <w:ilvl w:val="0"/>
          <w:numId w:val="1004"/>
        </w:numPr>
        <w:pStyle w:val="Compact"/>
      </w:pPr>
      <w:r>
        <w:t xml:space="preserve">Tom’s Hardware —</w:t>
      </w:r>
      <w:r>
        <w:t xml:space="preserve"> </w:t>
      </w:r>
      <w:r>
        <w:rPr>
          <w:i/>
        </w:rPr>
        <w:t xml:space="preserve">DRAM and NAND contract prices to climb again in Q2 2026</w:t>
      </w:r>
      <w:r>
        <w:t xml:space="preserve">: https://www.tomshardware.com/pc-components/dram/dram-and-nand-contract-prices-to-climb-again-in-q2</w:t>
      </w:r>
    </w:p>
    <w:p>
      <w:pPr>
        <w:numPr>
          <w:ilvl w:val="0"/>
          <w:numId w:val="1004"/>
        </w:numPr>
        <w:pStyle w:val="Compact"/>
      </w:pPr>
      <w:r>
        <w:t xml:space="preserve">TrendForce —</w:t>
      </w:r>
      <w:r>
        <w:t xml:space="preserve"> </w:t>
      </w:r>
      <w:r>
        <w:rPr>
          <w:i/>
        </w:rPr>
        <w:t xml:space="preserve">Memory makers prioritize server applications, 1Q26 price increases</w:t>
      </w:r>
      <w:r>
        <w:t xml:space="preserve">: https://www.trendforce.com/presscenter/news/20260105-12860.html</w:t>
      </w:r>
    </w:p>
    <w:p>
      <w:pPr>
        <w:numPr>
          <w:ilvl w:val="0"/>
          <w:numId w:val="1004"/>
        </w:numPr>
        <w:pStyle w:val="Compact"/>
      </w:pPr>
      <w:r>
        <w:t xml:space="preserve">FinancialContent —</w:t>
      </w:r>
      <w:r>
        <w:t xml:space="preserve"> </w:t>
      </w:r>
      <w:r>
        <w:rPr>
          <w:i/>
        </w:rPr>
        <w:t xml:space="preserve">ASE Technology signals the chiplet era with record $7B 2026 capex</w:t>
      </w:r>
      <w:r>
        <w:t xml:space="preserve">: https://markets.financialcontent.com/stocks/article/tokenring-2026-2-6-the-new-gatekeeper-of-ai-ase-technology-signals-the-chiplet-era-with-record-7-billion-2026-capex-plan</w:t>
      </w:r>
    </w:p>
    <w:p>
      <w:pPr>
        <w:numPr>
          <w:ilvl w:val="0"/>
          <w:numId w:val="1004"/>
        </w:numPr>
        <w:pStyle w:val="Compact"/>
      </w:pPr>
      <w:r>
        <w:t xml:space="preserve">EE Times Asia —</w:t>
      </w:r>
      <w:r>
        <w:t xml:space="preserve"> </w:t>
      </w:r>
      <w:r>
        <w:rPr>
          <w:i/>
        </w:rPr>
        <w:t xml:space="preserve">ASE ramps up investment as AI packaging demand accelerates</w:t>
      </w:r>
      <w:r>
        <w:t xml:space="preserve">: https://www.eetasia.com/ase-ramps-up-investment-as-ai-packaging-demand-accelerates/</w:t>
      </w:r>
    </w:p>
    <w:p>
      <w:pPr>
        <w:numPr>
          <w:ilvl w:val="0"/>
          <w:numId w:val="1004"/>
        </w:numPr>
        <w:pStyle w:val="Compact"/>
      </w:pPr>
      <w:r>
        <w:t xml:space="preserve">Futurum —</w:t>
      </w:r>
      <w:r>
        <w:t xml:space="preserve"> </w:t>
      </w:r>
      <w:r>
        <w:rPr>
          <w:i/>
        </w:rPr>
        <w:t xml:space="preserve">AI capex 2026: the $690B infrastructure sprint</w:t>
      </w:r>
      <w:r>
        <w:t xml:space="preserve">: https://futurumgroup.com/insights/ai-capex-2026-the-690b-infrastructure-sprint/</w:t>
      </w:r>
    </w:p>
    <w:p>
      <w:pPr>
        <w:numPr>
          <w:ilvl w:val="0"/>
          <w:numId w:val="1004"/>
        </w:numPr>
        <w:pStyle w:val="Compact"/>
      </w:pPr>
      <w:r>
        <w:t xml:space="preserve">Futuriom —</w:t>
      </w:r>
      <w:r>
        <w:t xml:space="preserve"> </w:t>
      </w:r>
      <w:r>
        <w:rPr>
          <w:i/>
        </w:rPr>
        <w:t xml:space="preserve">Is hyperscaler AI spending sustainable?</w:t>
      </w:r>
      <w:r>
        <w:t xml:space="preserve">: https://www.futuriom.com/articles/news/ctp-is-hyperscaler-ai-spending-sustainable/2026/04</w:t>
      </w:r>
    </w:p>
    <w:p>
      <w:pPr>
        <w:numPr>
          <w:ilvl w:val="0"/>
          <w:numId w:val="1004"/>
        </w:numPr>
        <w:pStyle w:val="Compact"/>
      </w:pPr>
      <w:r>
        <w:t xml:space="preserve">Goldman Sachs —</w:t>
      </w:r>
      <w:r>
        <w:t xml:space="preserve"> </w:t>
      </w:r>
      <w:r>
        <w:rPr>
          <w:i/>
        </w:rPr>
        <w:t xml:space="preserve">Tracking trillions: assumptions shaping the AI build-out</w:t>
      </w:r>
      <w:r>
        <w:t xml:space="preserve">: https://www.goldmansachs.com/insights/articles/tracking-trillions-the-assumptions-shaping-scale-of-the-ai-build-out</w:t>
      </w:r>
    </w:p>
    <w:p>
      <w:pPr>
        <w:pStyle w:val="FirstParagraph"/>
      </w:pPr>
      <w:r>
        <w:rPr>
          <w:i/>
        </w:rPr>
        <w:t xml:space="preserve">Prepared as internship study material. Figures are drawn from the source tracker (June 2026) and public reporting as of mid-June 2026; loan-market data ages quickly, so treat specific deal terms as point-in-time.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2026-06-16T07:48:35Z</dcterms:created>
  <dcterms:modified xsi:type="dcterms:W3CDTF">2026-06-16T07:48:35Z</dcterms:modified>
</cp:coreProperties>
</file>

<file path=docProps/custom.xml><?xml version="1.0" encoding="utf-8"?>
<Properties xmlns="http://schemas.openxmlformats.org/officeDocument/2006/custom-properties" xmlns:vt="http://schemas.openxmlformats.org/officeDocument/2006/docPropsVTypes"/>
</file>