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A4604" w14:textId="2629BEB0" w:rsidR="00F97AEC" w:rsidRDefault="00000000">
      <w:pPr>
        <w:spacing w:after="200"/>
        <w:jc w:val="center"/>
        <w:rPr>
          <w:rFonts w:hint="eastAsia"/>
        </w:rPr>
      </w:pPr>
      <w:r>
        <w:rPr>
          <w:b/>
          <w:bCs/>
          <w:color w:val="1B3A6B"/>
          <w:sz w:val="34"/>
          <w:szCs w:val="34"/>
        </w:rPr>
        <w:t>법령해석 사전질의서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300"/>
      </w:tblGrid>
      <w:tr w:rsidR="00F97AEC" w14:paraId="425329D0" w14:textId="77777777">
        <w:tc>
          <w:tcPr>
            <w:tcW w:w="18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shd w:val="clear" w:color="auto" w:fill="F2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4C934" w14:textId="77777777" w:rsidR="00F97AEC" w:rsidRDefault="00000000">
            <w:r>
              <w:rPr>
                <w:b/>
                <w:bCs/>
                <w:color w:val="222222"/>
                <w:sz w:val="18"/>
                <w:szCs w:val="18"/>
              </w:rPr>
              <w:t>제목</w:t>
            </w:r>
          </w:p>
        </w:tc>
        <w:tc>
          <w:tcPr>
            <w:tcW w:w="73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77D00" w14:textId="77777777" w:rsidR="00F97AEC" w:rsidRDefault="00000000">
            <w:r>
              <w:rPr>
                <w:color w:val="222222"/>
                <w:sz w:val="18"/>
                <w:szCs w:val="18"/>
              </w:rPr>
              <w:t xml:space="preserve">해외 인가 가상자산사업자와의 </w:t>
            </w:r>
            <w:proofErr w:type="spellStart"/>
            <w:r>
              <w:rPr>
                <w:color w:val="222222"/>
                <w:sz w:val="18"/>
                <w:szCs w:val="18"/>
              </w:rPr>
              <w:t>스테이블코인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연계 결제·정산 협력 관련 특정금융정보법 적용에 대한 질의</w:t>
            </w:r>
          </w:p>
        </w:tc>
      </w:tr>
    </w:tbl>
    <w:p w14:paraId="0B77EEFA" w14:textId="77777777" w:rsidR="00F97AEC" w:rsidRDefault="00000000">
      <w:pPr>
        <w:spacing w:before="240" w:after="100"/>
      </w:pPr>
      <w:r>
        <w:rPr>
          <w:b/>
          <w:bCs/>
          <w:color w:val="1B3A6B"/>
          <w:sz w:val="24"/>
          <w:szCs w:val="24"/>
        </w:rPr>
        <w:t>1. 질의 배경</w:t>
      </w:r>
    </w:p>
    <w:p w14:paraId="13179B34" w14:textId="77777777" w:rsidR="00F97AEC" w:rsidRDefault="00000000">
      <w:pPr>
        <w:spacing w:before="60" w:after="60" w:line="300" w:lineRule="auto"/>
      </w:pPr>
      <w:r>
        <w:rPr>
          <w:color w:val="222222"/>
        </w:rPr>
        <w:t xml:space="preserve">당행은 싱가포르 </w:t>
      </w:r>
      <w:proofErr w:type="spellStart"/>
      <w:r>
        <w:rPr>
          <w:color w:val="222222"/>
        </w:rPr>
        <w:t>통화청</w:t>
      </w:r>
      <w:proofErr w:type="spellEnd"/>
      <w:r>
        <w:rPr>
          <w:color w:val="222222"/>
        </w:rPr>
        <w:t>(MAS)으로부터 Payment Services Act 2019에 따른 Major Payment Institution 인가(</w:t>
      </w:r>
      <w:proofErr w:type="spellStart"/>
      <w:r>
        <w:rPr>
          <w:color w:val="222222"/>
        </w:rPr>
        <w:t>디지털결제토큰</w:t>
      </w:r>
      <w:proofErr w:type="spellEnd"/>
      <w:r>
        <w:rPr>
          <w:color w:val="222222"/>
        </w:rPr>
        <w:t xml:space="preserve"> 서비스 포함)를 받은 해외 법인(이하 "S사")과 국내 결제·정산 협력 사업을 검토 중입니다. 사업 개시에 앞서 특정금융정보법(이하 "</w:t>
      </w:r>
      <w:proofErr w:type="spellStart"/>
      <w:r>
        <w:rPr>
          <w:color w:val="222222"/>
        </w:rPr>
        <w:t>특금법</w:t>
      </w:r>
      <w:proofErr w:type="spellEnd"/>
      <w:r>
        <w:rPr>
          <w:color w:val="222222"/>
        </w:rPr>
        <w:t>")상 S사의 신고의무 해당 여부 및 당행의 고객확인·거래거절 의무의 적용 범위에 관하여 아래와 같이 질의합니다.</w:t>
      </w:r>
    </w:p>
    <w:p w14:paraId="0BA9DE14" w14:textId="77777777" w:rsidR="00F97AEC" w:rsidRDefault="00000000">
      <w:pPr>
        <w:spacing w:before="240" w:after="100"/>
      </w:pPr>
      <w:r>
        <w:rPr>
          <w:b/>
          <w:bCs/>
          <w:color w:val="1B3A6B"/>
          <w:sz w:val="24"/>
          <w:szCs w:val="24"/>
        </w:rPr>
        <w:t>2. 사실관계 (검토 중인 거래 구조)</w:t>
      </w:r>
    </w:p>
    <w:p w14:paraId="0EB963FC" w14:textId="58F40A7C" w:rsidR="00F97AEC" w:rsidRDefault="00000000">
      <w:pPr>
        <w:pStyle w:val="a4"/>
        <w:numPr>
          <w:ilvl w:val="0"/>
          <w:numId w:val="2"/>
        </w:numPr>
        <w:spacing w:before="40" w:after="40" w:line="288" w:lineRule="auto"/>
      </w:pPr>
      <w:r>
        <w:rPr>
          <w:color w:val="222222"/>
        </w:rPr>
        <w:t xml:space="preserve">(가상자산) 국내 소재 가맹점에서 이용자가 USDT 등 </w:t>
      </w:r>
      <w:proofErr w:type="spellStart"/>
      <w:r>
        <w:rPr>
          <w:color w:val="222222"/>
        </w:rPr>
        <w:t>스테이블코인으로</w:t>
      </w:r>
      <w:proofErr w:type="spellEnd"/>
      <w:r>
        <w:rPr>
          <w:color w:val="222222"/>
        </w:rPr>
        <w:t xml:space="preserve"> 대금을 지급하며, 해당 가상자산은 S사의 역외(국외 소재) 지갑으로 이전됨. </w:t>
      </w:r>
    </w:p>
    <w:p w14:paraId="793D6F4B" w14:textId="3BA33FC8" w:rsidR="00F97AEC" w:rsidRDefault="00000000">
      <w:pPr>
        <w:pStyle w:val="a4"/>
        <w:numPr>
          <w:ilvl w:val="0"/>
          <w:numId w:val="2"/>
        </w:numPr>
        <w:spacing w:before="40" w:after="40" w:line="288" w:lineRule="auto"/>
      </w:pPr>
      <w:r>
        <w:rPr>
          <w:color w:val="222222"/>
        </w:rPr>
        <w:t>(자금</w:t>
      </w:r>
      <w:r w:rsidR="00F40CAB">
        <w:rPr>
          <w:rFonts w:hint="eastAsia"/>
          <w:color w:val="222222"/>
        </w:rPr>
        <w:t>흐름</w:t>
      </w:r>
      <w:r>
        <w:rPr>
          <w:color w:val="222222"/>
        </w:rPr>
        <w:t>) S사는 결제액 상</w:t>
      </w:r>
      <w:r w:rsidR="00B43007" w:rsidRPr="00B43007">
        <w:rPr>
          <w:color w:val="222222"/>
        </w:rPr>
        <w:t xml:space="preserve"> </w:t>
      </w:r>
      <w:r w:rsidR="00B43007">
        <w:rPr>
          <w:color w:val="222222"/>
        </w:rPr>
        <w:t>법정화폐를 S사 명의 해외 은행 계좌에서 당행 내 S사 명의 계좌로 은행망을 통해 송금함.</w:t>
      </w:r>
    </w:p>
    <w:p w14:paraId="44E38BA7" w14:textId="7A3ECDDA" w:rsidR="00F97AEC" w:rsidRDefault="00000000">
      <w:pPr>
        <w:pStyle w:val="a4"/>
        <w:numPr>
          <w:ilvl w:val="0"/>
          <w:numId w:val="2"/>
        </w:numPr>
        <w:spacing w:before="40" w:after="40" w:line="288" w:lineRule="auto"/>
      </w:pPr>
      <w:r>
        <w:rPr>
          <w:color w:val="222222"/>
        </w:rPr>
        <w:t>(정</w:t>
      </w:r>
      <w:r w:rsidR="009A5B63">
        <w:rPr>
          <w:rFonts w:hint="eastAsia"/>
          <w:color w:val="222222"/>
        </w:rPr>
        <w:t>산흐름</w:t>
      </w:r>
      <w:r>
        <w:rPr>
          <w:color w:val="222222"/>
        </w:rPr>
        <w:t>) 당행은 위 자금으로 국내 가맹점에 원화를 정산함. 가맹점은 가상자산을 직접 수취·보유하지 않음.</w:t>
      </w:r>
    </w:p>
    <w:p w14:paraId="687165CC" w14:textId="77777777" w:rsidR="00F97AEC" w:rsidRDefault="00000000">
      <w:pPr>
        <w:pStyle w:val="a4"/>
        <w:numPr>
          <w:ilvl w:val="0"/>
          <w:numId w:val="2"/>
        </w:numPr>
        <w:spacing w:before="40" w:after="40" w:line="288" w:lineRule="auto"/>
      </w:pPr>
      <w:r>
        <w:rPr>
          <w:color w:val="222222"/>
        </w:rPr>
        <w:t>(전제) 상계·차감 방식의 정산은 사용하지 않으며, 모든 국경 간 자금 이동은 외국환은행을 경유함.</w:t>
      </w:r>
    </w:p>
    <w:p w14:paraId="615B4509" w14:textId="77777777" w:rsidR="00F97AEC" w:rsidRDefault="00000000">
      <w:pPr>
        <w:spacing w:before="60" w:after="60" w:line="300" w:lineRule="auto"/>
      </w:pPr>
      <w:r>
        <w:rPr>
          <w:color w:val="222222"/>
        </w:rPr>
        <w:t>※ 이용자 범위(비거주자 한정 여부), 가맹점 모집 주체, 한국어 UI 제공 여부 등은 설계 확정 전으로, 아래 질의사항 3의 각 안(案)을 병기합니다.</w:t>
      </w:r>
    </w:p>
    <w:p w14:paraId="057442C4" w14:textId="77777777" w:rsidR="00F97AEC" w:rsidRDefault="00000000">
      <w:pPr>
        <w:spacing w:before="240" w:after="100"/>
      </w:pPr>
      <w:r>
        <w:rPr>
          <w:b/>
          <w:bCs/>
          <w:color w:val="1B3A6B"/>
          <w:sz w:val="24"/>
          <w:szCs w:val="24"/>
        </w:rPr>
        <w:t>3. 질의사항</w:t>
      </w:r>
    </w:p>
    <w:p w14:paraId="5831FA2C" w14:textId="77777777" w:rsidR="00F97AEC" w:rsidRDefault="00000000">
      <w:pPr>
        <w:spacing w:before="80" w:after="80" w:line="300" w:lineRule="auto"/>
      </w:pPr>
      <w:r>
        <w:rPr>
          <w:b/>
          <w:bCs/>
          <w:color w:val="2E6BE6"/>
        </w:rPr>
        <w:t xml:space="preserve">질의 1. (국내영업 </w:t>
      </w:r>
      <w:proofErr w:type="spellStart"/>
      <w:r>
        <w:rPr>
          <w:b/>
          <w:bCs/>
          <w:color w:val="2E6BE6"/>
        </w:rPr>
        <w:t>해당성</w:t>
      </w:r>
      <w:proofErr w:type="spellEnd"/>
      <w:r>
        <w:rPr>
          <w:b/>
          <w:bCs/>
          <w:color w:val="2E6BE6"/>
        </w:rPr>
        <w:t xml:space="preserve">) </w:t>
      </w:r>
      <w:r>
        <w:rPr>
          <w:color w:val="222222"/>
        </w:rPr>
        <w:t xml:space="preserve">위 2.의 구조에서 S사가 국내 소재 가맹점의 판매대금을 가상자산으로 수취하고 원화로 정산하는 행위가 </w:t>
      </w:r>
      <w:proofErr w:type="spellStart"/>
      <w:r>
        <w:rPr>
          <w:color w:val="222222"/>
        </w:rPr>
        <w:t>특금법</w:t>
      </w:r>
      <w:proofErr w:type="spellEnd"/>
      <w:r>
        <w:rPr>
          <w:color w:val="222222"/>
        </w:rPr>
        <w:t xml:space="preserve"> 제2조 제1호 </w:t>
      </w:r>
      <w:proofErr w:type="spellStart"/>
      <w:r>
        <w:rPr>
          <w:color w:val="222222"/>
        </w:rPr>
        <w:t>하목의</w:t>
      </w:r>
      <w:proofErr w:type="spellEnd"/>
      <w:r>
        <w:rPr>
          <w:color w:val="222222"/>
        </w:rPr>
        <w:t xml:space="preserve"> 가상자산사업(매도·매수, 교환, 이전 등) 및 동법 제6조 제2항의 "국외 가상자산사업자의 국내 영업행위"</w:t>
      </w:r>
      <w:proofErr w:type="spellStart"/>
      <w:r>
        <w:rPr>
          <w:color w:val="222222"/>
        </w:rPr>
        <w:t>에</w:t>
      </w:r>
      <w:proofErr w:type="spellEnd"/>
      <w:r>
        <w:rPr>
          <w:color w:val="222222"/>
        </w:rPr>
        <w:t xml:space="preserve"> 해당하는지 여부.</w:t>
      </w:r>
    </w:p>
    <w:p w14:paraId="105740D4" w14:textId="77777777" w:rsidR="00F97AEC" w:rsidRDefault="00000000">
      <w:pPr>
        <w:spacing w:before="80" w:after="80" w:line="300" w:lineRule="auto"/>
      </w:pPr>
      <w:r>
        <w:rPr>
          <w:b/>
          <w:bCs/>
          <w:color w:val="2E6BE6"/>
        </w:rPr>
        <w:t xml:space="preserve">질의 2. (원화 정산의 해석) </w:t>
      </w:r>
      <w:r>
        <w:rPr>
          <w:color w:val="222222"/>
        </w:rPr>
        <w:t xml:space="preserve">이용자의 지급수단은 </w:t>
      </w:r>
      <w:proofErr w:type="spellStart"/>
      <w:r>
        <w:rPr>
          <w:color w:val="222222"/>
        </w:rPr>
        <w:t>가상자산이고</w:t>
      </w:r>
      <w:proofErr w:type="spellEnd"/>
      <w:r>
        <w:rPr>
          <w:color w:val="222222"/>
        </w:rPr>
        <w:t xml:space="preserve"> 가맹점 정산만 원화로 이루어지는 경우, 이를 귀 원의 국내영업 판단기준 중 "원화결제 지원"</w:t>
      </w:r>
      <w:proofErr w:type="spellStart"/>
      <w:r>
        <w:rPr>
          <w:color w:val="222222"/>
        </w:rPr>
        <w:t>에</w:t>
      </w:r>
      <w:proofErr w:type="spellEnd"/>
      <w:r>
        <w:rPr>
          <w:color w:val="222222"/>
        </w:rPr>
        <w:t xml:space="preserve"> 해당하는 것으로 보는지 여부.</w:t>
      </w:r>
    </w:p>
    <w:p w14:paraId="7E5ECC7E" w14:textId="77777777" w:rsidR="00F97AEC" w:rsidRDefault="00000000">
      <w:pPr>
        <w:spacing w:before="80" w:after="40" w:line="300" w:lineRule="auto"/>
      </w:pPr>
      <w:r>
        <w:rPr>
          <w:b/>
          <w:bCs/>
          <w:color w:val="2E6BE6"/>
        </w:rPr>
        <w:t xml:space="preserve">질의 3. (설계 변수별 판단) </w:t>
      </w:r>
      <w:r>
        <w:rPr>
          <w:color w:val="222222"/>
        </w:rPr>
        <w:t>다음 각 안의 경우 질의 1의 판단이 달라지는지 여부.</w:t>
      </w:r>
    </w:p>
    <w:p w14:paraId="15D808EB" w14:textId="77777777" w:rsidR="00F97AEC" w:rsidRDefault="00000000">
      <w:pPr>
        <w:pStyle w:val="a4"/>
        <w:numPr>
          <w:ilvl w:val="0"/>
          <w:numId w:val="2"/>
        </w:numPr>
        <w:spacing w:before="40" w:after="40" w:line="288" w:lineRule="auto"/>
      </w:pPr>
      <w:r>
        <w:rPr>
          <w:color w:val="222222"/>
        </w:rPr>
        <w:t>(제1안) 이용자를 비거주자(외국인 관광객)로 한정하고, 해외 발급 지갑·앱만 허용하며, 한국어 UI·국내 마케팅을 하지 않는 경우</w:t>
      </w:r>
    </w:p>
    <w:p w14:paraId="1BDADEB0" w14:textId="77777777" w:rsidR="00F97AEC" w:rsidRDefault="00000000">
      <w:pPr>
        <w:pStyle w:val="a4"/>
        <w:numPr>
          <w:ilvl w:val="0"/>
          <w:numId w:val="2"/>
        </w:numPr>
        <w:spacing w:before="40" w:after="40" w:line="288" w:lineRule="auto"/>
      </w:pPr>
      <w:r>
        <w:rPr>
          <w:color w:val="222222"/>
        </w:rPr>
        <w:lastRenderedPageBreak/>
        <w:t>(제2안) 제1안에 더하여, 국내 가맹점의 모집·계약을 S사가 아닌 국내 금융회사(당행) 또는 국내 신고 가상자산사업자가 수행하는 경우</w:t>
      </w:r>
    </w:p>
    <w:p w14:paraId="369DCC12" w14:textId="77777777" w:rsidR="00F97AEC" w:rsidRDefault="00000000">
      <w:pPr>
        <w:pStyle w:val="a4"/>
        <w:numPr>
          <w:ilvl w:val="0"/>
          <w:numId w:val="2"/>
        </w:numPr>
        <w:spacing w:before="40" w:after="40" w:line="288" w:lineRule="auto"/>
      </w:pPr>
      <w:r>
        <w:rPr>
          <w:color w:val="222222"/>
        </w:rPr>
        <w:t>(제3안) 내국인 이용자를 포함하는 경우</w:t>
      </w:r>
    </w:p>
    <w:p w14:paraId="5EAAA8FA" w14:textId="77777777" w:rsidR="00F97AEC" w:rsidRDefault="00000000">
      <w:pPr>
        <w:spacing w:before="80" w:after="80" w:line="300" w:lineRule="auto"/>
      </w:pPr>
      <w:r>
        <w:rPr>
          <w:b/>
          <w:bCs/>
          <w:color w:val="2E6BE6"/>
        </w:rPr>
        <w:t xml:space="preserve">질의 4. (금융회사의 확인·거래거절 의무) </w:t>
      </w:r>
      <w:proofErr w:type="spellStart"/>
      <w:r>
        <w:rPr>
          <w:color w:val="222222"/>
        </w:rPr>
        <w:t>특금법</w:t>
      </w:r>
      <w:proofErr w:type="spellEnd"/>
      <w:r>
        <w:rPr>
          <w:color w:val="222222"/>
        </w:rPr>
        <w:t xml:space="preserve"> 제5조의2 제1항 제3호의 확인의무 및 거래거절·종료 의무와 관련하여, ① 국내 영업행위가 없어 신고의무가 발생하지 않는 해외 인가 가상자산사업자가 고객인 경우에도 동 조항이 적용되는지, ② 적용된다면 "신고의무 이행 여부" 확인은 어떤 방법으로 이행하여야 하는지(본국 인가 확인으로 갈음 가능한지) 여부.</w:t>
      </w:r>
    </w:p>
    <w:p w14:paraId="542161E0" w14:textId="4A255056" w:rsidR="00F97AEC" w:rsidRDefault="00000000">
      <w:pPr>
        <w:spacing w:before="240" w:after="100"/>
      </w:pPr>
      <w:r>
        <w:rPr>
          <w:b/>
          <w:bCs/>
          <w:color w:val="1B3A6B"/>
          <w:sz w:val="24"/>
          <w:szCs w:val="24"/>
        </w:rPr>
        <w:t xml:space="preserve">4. </w:t>
      </w:r>
      <w:r w:rsidR="00C85F4C">
        <w:rPr>
          <w:rFonts w:hint="eastAsia"/>
          <w:b/>
          <w:bCs/>
          <w:color w:val="1B3A6B"/>
          <w:sz w:val="24"/>
          <w:szCs w:val="24"/>
        </w:rPr>
        <w:t>부서</w:t>
      </w:r>
      <w:r>
        <w:rPr>
          <w:b/>
          <w:bCs/>
          <w:color w:val="1B3A6B"/>
          <w:sz w:val="24"/>
          <w:szCs w:val="24"/>
        </w:rPr>
        <w:t xml:space="preserve"> 검토 의견 (참고)</w:t>
      </w:r>
    </w:p>
    <w:p w14:paraId="1FB4AD29" w14:textId="2F29FD53" w:rsidR="00F97AEC" w:rsidRPr="009A5B63" w:rsidRDefault="009A5B63">
      <w:pPr>
        <w:spacing w:before="60" w:after="60" w:line="300" w:lineRule="auto"/>
        <w:rPr>
          <w:color w:val="222222"/>
        </w:rPr>
      </w:pPr>
      <w:r>
        <w:rPr>
          <w:rFonts w:hint="eastAsia"/>
          <w:color w:val="222222"/>
        </w:rPr>
        <w:t xml:space="preserve">자금세탁방지부에서는 해당 업체가 가상자산사업자로 보이는데, 국내 FIU에 등록되어 있는 가상자산사업자가 아니기에 </w:t>
      </w:r>
      <w:proofErr w:type="spellStart"/>
      <w:r>
        <w:rPr>
          <w:rFonts w:hint="eastAsia"/>
          <w:color w:val="222222"/>
        </w:rPr>
        <w:t>특금법</w:t>
      </w:r>
      <w:proofErr w:type="spellEnd"/>
      <w:r>
        <w:rPr>
          <w:rFonts w:hint="eastAsia"/>
          <w:color w:val="222222"/>
        </w:rPr>
        <w:t xml:space="preserve"> 위반으로 보인다고 답변을 준 상태입니다. 해석의 여부에 따라 달라질 수 있는지 </w:t>
      </w:r>
      <w:proofErr w:type="spellStart"/>
      <w:r>
        <w:rPr>
          <w:rFonts w:hint="eastAsia"/>
          <w:color w:val="222222"/>
        </w:rPr>
        <w:t>문의드립니다</w:t>
      </w:r>
      <w:proofErr w:type="spellEnd"/>
      <w:r>
        <w:rPr>
          <w:rFonts w:hint="eastAsia"/>
          <w:color w:val="222222"/>
        </w:rPr>
        <w:t>.</w:t>
      </w:r>
    </w:p>
    <w:p w14:paraId="4829BDA3" w14:textId="77777777" w:rsidR="00F97AEC" w:rsidRDefault="00000000">
      <w:pPr>
        <w:spacing w:before="300"/>
        <w:jc w:val="center"/>
      </w:pPr>
      <w:r>
        <w:rPr>
          <w:color w:val="999999"/>
          <w:sz w:val="18"/>
          <w:szCs w:val="18"/>
        </w:rPr>
        <w:t>— 이하 초안, 법무 검토 후 확정 —</w:t>
      </w:r>
    </w:p>
    <w:sectPr w:rsidR="00F97AEC">
      <w:pgSz w:w="11906" w:h="16838"/>
      <w:pgMar w:top="1247" w:right="1247" w:bottom="1133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D7804"/>
    <w:multiLevelType w:val="hybridMultilevel"/>
    <w:tmpl w:val="09541ABA"/>
    <w:lvl w:ilvl="0" w:tplc="04090001">
      <w:start w:val="1"/>
      <w:numFmt w:val="bullet"/>
      <w:lvlText w:val=""/>
      <w:lvlJc w:val="left"/>
      <w:pPr>
        <w:ind w:left="520" w:hanging="440"/>
      </w:pPr>
      <w:rPr>
        <w:rFonts w:ascii="Wingdings" w:hAnsi="Wingdings" w:hint="default"/>
      </w:rPr>
    </w:lvl>
    <w:lvl w:ilvl="1" w:tplc="B43CE376">
      <w:numFmt w:val="decimal"/>
      <w:lvlText w:val=""/>
      <w:lvlJc w:val="left"/>
    </w:lvl>
    <w:lvl w:ilvl="2" w:tplc="CA500C5E">
      <w:numFmt w:val="decimal"/>
      <w:lvlText w:val=""/>
      <w:lvlJc w:val="left"/>
    </w:lvl>
    <w:lvl w:ilvl="3" w:tplc="E9560452">
      <w:numFmt w:val="decimal"/>
      <w:lvlText w:val=""/>
      <w:lvlJc w:val="left"/>
    </w:lvl>
    <w:lvl w:ilvl="4" w:tplc="125251E4">
      <w:numFmt w:val="decimal"/>
      <w:lvlText w:val=""/>
      <w:lvlJc w:val="left"/>
    </w:lvl>
    <w:lvl w:ilvl="5" w:tplc="F3A0C0A0">
      <w:numFmt w:val="decimal"/>
      <w:lvlText w:val=""/>
      <w:lvlJc w:val="left"/>
    </w:lvl>
    <w:lvl w:ilvl="6" w:tplc="53F40724">
      <w:numFmt w:val="decimal"/>
      <w:lvlText w:val=""/>
      <w:lvlJc w:val="left"/>
    </w:lvl>
    <w:lvl w:ilvl="7" w:tplc="5CBE5878">
      <w:numFmt w:val="decimal"/>
      <w:lvlText w:val=""/>
      <w:lvlJc w:val="left"/>
    </w:lvl>
    <w:lvl w:ilvl="8" w:tplc="5A26B742">
      <w:numFmt w:val="decimal"/>
      <w:lvlText w:val=""/>
      <w:lvlJc w:val="left"/>
    </w:lvl>
  </w:abstractNum>
  <w:abstractNum w:abstractNumId="1" w15:restartNumberingAfterBreak="0">
    <w:nsid w:val="42F61208"/>
    <w:multiLevelType w:val="hybridMultilevel"/>
    <w:tmpl w:val="C988E3F6"/>
    <w:lvl w:ilvl="0" w:tplc="D4A2D696">
      <w:start w:val="1"/>
      <w:numFmt w:val="bullet"/>
      <w:lvlText w:val="●"/>
      <w:lvlJc w:val="left"/>
      <w:pPr>
        <w:ind w:left="720" w:hanging="360"/>
      </w:pPr>
    </w:lvl>
    <w:lvl w:ilvl="1" w:tplc="C028392A">
      <w:start w:val="1"/>
      <w:numFmt w:val="bullet"/>
      <w:lvlText w:val="○"/>
      <w:lvlJc w:val="left"/>
      <w:pPr>
        <w:ind w:left="1440" w:hanging="360"/>
      </w:pPr>
    </w:lvl>
    <w:lvl w:ilvl="2" w:tplc="874CE6C6">
      <w:start w:val="1"/>
      <w:numFmt w:val="bullet"/>
      <w:lvlText w:val="■"/>
      <w:lvlJc w:val="left"/>
      <w:pPr>
        <w:ind w:left="2160" w:hanging="360"/>
      </w:pPr>
    </w:lvl>
    <w:lvl w:ilvl="3" w:tplc="B8286A86">
      <w:start w:val="1"/>
      <w:numFmt w:val="bullet"/>
      <w:lvlText w:val="●"/>
      <w:lvlJc w:val="left"/>
      <w:pPr>
        <w:ind w:left="2880" w:hanging="360"/>
      </w:pPr>
    </w:lvl>
    <w:lvl w:ilvl="4" w:tplc="187E14C2">
      <w:start w:val="1"/>
      <w:numFmt w:val="bullet"/>
      <w:lvlText w:val="○"/>
      <w:lvlJc w:val="left"/>
      <w:pPr>
        <w:ind w:left="3600" w:hanging="360"/>
      </w:pPr>
    </w:lvl>
    <w:lvl w:ilvl="5" w:tplc="DE7A9156">
      <w:start w:val="1"/>
      <w:numFmt w:val="bullet"/>
      <w:lvlText w:val="■"/>
      <w:lvlJc w:val="left"/>
      <w:pPr>
        <w:ind w:left="4320" w:hanging="360"/>
      </w:pPr>
    </w:lvl>
    <w:lvl w:ilvl="6" w:tplc="0D9A2274">
      <w:start w:val="1"/>
      <w:numFmt w:val="bullet"/>
      <w:lvlText w:val="●"/>
      <w:lvlJc w:val="left"/>
      <w:pPr>
        <w:ind w:left="5040" w:hanging="360"/>
      </w:pPr>
    </w:lvl>
    <w:lvl w:ilvl="7" w:tplc="46DCDBEE">
      <w:start w:val="1"/>
      <w:numFmt w:val="bullet"/>
      <w:lvlText w:val="●"/>
      <w:lvlJc w:val="left"/>
      <w:pPr>
        <w:ind w:left="5760" w:hanging="360"/>
      </w:pPr>
    </w:lvl>
    <w:lvl w:ilvl="8" w:tplc="EFAAF3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1D30E8"/>
    <w:multiLevelType w:val="hybridMultilevel"/>
    <w:tmpl w:val="C1C4FD26"/>
    <w:lvl w:ilvl="0" w:tplc="46720ABA">
      <w:start w:val="1"/>
      <w:numFmt w:val="decimal"/>
      <w:lvlText w:val="%1."/>
      <w:lvlJc w:val="left"/>
      <w:pPr>
        <w:ind w:left="320" w:hanging="320"/>
      </w:pPr>
    </w:lvl>
    <w:lvl w:ilvl="1" w:tplc="D92CE732">
      <w:numFmt w:val="decimal"/>
      <w:lvlText w:val=""/>
      <w:lvlJc w:val="left"/>
    </w:lvl>
    <w:lvl w:ilvl="2" w:tplc="09BA8058">
      <w:numFmt w:val="decimal"/>
      <w:lvlText w:val=""/>
      <w:lvlJc w:val="left"/>
    </w:lvl>
    <w:lvl w:ilvl="3" w:tplc="1636613C">
      <w:numFmt w:val="decimal"/>
      <w:lvlText w:val=""/>
      <w:lvlJc w:val="left"/>
    </w:lvl>
    <w:lvl w:ilvl="4" w:tplc="A4585EE8">
      <w:numFmt w:val="decimal"/>
      <w:lvlText w:val=""/>
      <w:lvlJc w:val="left"/>
    </w:lvl>
    <w:lvl w:ilvl="5" w:tplc="49D4E0B0">
      <w:numFmt w:val="decimal"/>
      <w:lvlText w:val=""/>
      <w:lvlJc w:val="left"/>
    </w:lvl>
    <w:lvl w:ilvl="6" w:tplc="756870E6">
      <w:numFmt w:val="decimal"/>
      <w:lvlText w:val=""/>
      <w:lvlJc w:val="left"/>
    </w:lvl>
    <w:lvl w:ilvl="7" w:tplc="BF8A9982">
      <w:numFmt w:val="decimal"/>
      <w:lvlText w:val=""/>
      <w:lvlJc w:val="left"/>
    </w:lvl>
    <w:lvl w:ilvl="8" w:tplc="8ABCC6EE">
      <w:numFmt w:val="decimal"/>
      <w:lvlText w:val=""/>
      <w:lvlJc w:val="left"/>
    </w:lvl>
  </w:abstractNum>
  <w:num w:numId="1" w16cid:durableId="1590383691">
    <w:abstractNumId w:val="1"/>
    <w:lvlOverride w:ilvl="0">
      <w:startOverride w:val="1"/>
    </w:lvlOverride>
  </w:num>
  <w:num w:numId="2" w16cid:durableId="591548873">
    <w:abstractNumId w:val="0"/>
  </w:num>
  <w:num w:numId="3" w16cid:durableId="185572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AEC"/>
    <w:rsid w:val="00107803"/>
    <w:rsid w:val="003E65AA"/>
    <w:rsid w:val="009A5B63"/>
    <w:rsid w:val="00B43007"/>
    <w:rsid w:val="00C85F4C"/>
    <w:rsid w:val="00D86E6E"/>
    <w:rsid w:val="00F40CAB"/>
    <w:rsid w:val="00F427BB"/>
    <w:rsid w:val="00F9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F7895"/>
  <w15:docId w15:val="{552E22EA-C293-E74A-AB8F-E4AE832C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7</cp:revision>
  <dcterms:created xsi:type="dcterms:W3CDTF">2026-08-11T05:07:00Z</dcterms:created>
  <dcterms:modified xsi:type="dcterms:W3CDTF">2026-08-13T05:45:00Z</dcterms:modified>
</cp:coreProperties>
</file>