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597"/>
        <w:gridCol w:w="2721"/>
      </w:tblGrid>
      <w:tr>
        <w:tc>
          <w:tcPr>
            <w:tcW w:type="dxa" w:w="7597"/>
          </w:tcPr>
          <w:p>
            <w:pPr>
              <w:autoSpaceDN w:val="0"/>
              <w:autoSpaceDE w:val="0"/>
              <w:spacing w:before="0" w:after="0" w:line="240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34"/>
              </w:rPr>
              <w:t>나이스 협력 MCP 시범과제 추진(안)</w:t>
            </w:r>
          </w:p>
        </w:tc>
        <w:tc>
          <w:tcPr>
            <w:tcW w:type="dxa" w:w="2721"/>
          </w:tcPr>
          <w:p>
            <w:pPr>
              <w:autoSpaceDN w:val="0"/>
              <w:autoSpaceDE w:val="0"/>
              <w:spacing w:before="0" w:after="0" w:line="240" w:lineRule="auto"/>
              <w:jc w:val="right"/>
            </w:pPr>
            <w:r>
              <w:rPr>
                <w:rFonts w:eastAsia="맑은 고딕" w:ascii="맑은 고딕" w:hAnsi="맑은 고딕"/>
                <w:b/>
                <w:color w:val="2B3030"/>
                <w:sz w:val="17"/>
              </w:rPr>
              <w:t>iM뱅크 AX추진부</w:t>
            </w:r>
          </w:p>
        </w:tc>
      </w:tr>
      <w:tr>
        <w:tc>
          <w:tcPr>
            <w:tcW w:type="dxa" w:w="7597"/>
          </w:tcPr>
          <w:p>
            <w:pPr>
              <w:autoSpaceDN w:val="0"/>
              <w:autoSpaceDE w:val="0"/>
              <w:spacing w:before="0" w:after="0" w:line="240" w:lineRule="auto"/>
            </w:pPr>
            <w:r>
              <w:rPr>
                <w:rFonts w:eastAsia="맑은 고딕" w:ascii="맑은 고딕" w:hAnsi="맑은 고딕"/>
                <w:b w:val="0"/>
                <w:color w:val="666666"/>
                <w:sz w:val="19"/>
              </w:rPr>
              <w:t>3개 과제안 검토 및 추진 과제 선정</w:t>
            </w:r>
          </w:p>
        </w:tc>
        <w:tc>
          <w:tcPr>
            <w:tcW w:type="dxa" w:w="2721"/>
          </w:tcPr>
          <w:p>
            <w:pPr>
              <w:autoSpaceDN w:val="0"/>
              <w:autoSpaceDE w:val="0"/>
              <w:spacing w:before="0" w:after="0" w:line="240" w:lineRule="auto"/>
              <w:jc w:val="right"/>
            </w:pPr>
            <w:r>
              <w:rPr>
                <w:rFonts w:eastAsia="맑은 고딕" w:ascii="맑은 고딕" w:hAnsi="맑은 고딕"/>
                <w:b w:val="0"/>
                <w:color w:val="666666"/>
                <w:sz w:val="16"/>
              </w:rPr>
              <w:t>2026. 8. 18.</w:t>
            </w:r>
          </w:p>
        </w:tc>
      </w:tr>
    </w:tbl>
    <w:p>
      <w:pPr>
        <w:autoSpaceDN w:val="0"/>
        <w:autoSpaceDE w:val="0"/>
        <w:spacing w:before="44" w:after="0" w:line="240" w:lineRule="auto"/>
        <w:rPr>
          <w:sz w:val="2"/>
          <w:szCs w:val="2"/>
        </w:rPr>
        <w:pBdr>
          <w:bottom w:val="single" w:sz="16" w:space="1" w:color="00C7A9"/>
        </w:pBdr>
      </w:pPr>
      <w:r>
        <w:rPr>
          <w:sz w:val="2"/>
        </w:rPr>
      </w:r>
    </w:p>
    <w:p>
      <w:pPr>
        <w:spacing w:before="0" w:after="0" w:line="240" w:lineRule="auto"/>
        <w:rPr>
          <w:sz w:val="8"/>
          <w:szCs w:val="8"/>
        </w:rPr>
      </w:pPr>
      <w:r>
        <w:rPr>
          <w:sz w:val="8"/>
        </w:rPr>
      </w:r>
    </w:p>
    <w:p>
      <w:pPr>
        <w:autoSpaceDN w:val="0"/>
        <w:autoSpaceDE w:val="0"/>
        <w:spacing w:before="0" w:after="0" w:line="240" w:lineRule="auto"/>
        <w:pBdr>
          <w:bottom w:val="single" w:sz="8" w:space="1" w:color="C6CBCB"/>
        </w:pBdr>
      </w:pPr>
      <w:r>
        <w:rPr>
          <w:rFonts w:eastAsia="맑은 고딕" w:ascii="맑은 고딕" w:hAnsi="맑은 고딕"/>
          <w:b/>
          <w:color w:val="2B3030"/>
          <w:sz w:val="19"/>
        </w:rPr>
        <w:t>1. 추진 배경 및 서비스 구조</w:t>
      </w:r>
    </w:p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p>
      <w:pPr>
        <w:autoSpaceDN w:val="0"/>
        <w:autoSpaceDE w:val="0"/>
        <w:spacing w:before="0" w:after="60" w:line="247" w:lineRule="auto"/>
      </w:pPr>
      <w:r>
        <w:rPr>
          <w:rFonts w:eastAsia="맑은 고딕" w:ascii="맑은 고딕" w:hAnsi="맑은 고딕"/>
          <w:b w:val="0"/>
          <w:color w:val="222626"/>
          <w:sz w:val="16"/>
        </w:rPr>
        <w:t>당행 오픈API를 MCP(Model Context Protocol) 규격으로 개방하여, 협약 업체의 AI가 당행 금융 기능을 직접 호출할 수 있도록 하는 시범과제를 검토함. 기존 오픈API 위에 표준 어댑터를 얹는 구조이며, 나이스를 첫 협력사로 상정함.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82"/>
        <w:gridCol w:w="396"/>
        <w:gridCol w:w="2282"/>
        <w:gridCol w:w="396"/>
        <w:gridCol w:w="2282"/>
        <w:gridCol w:w="396"/>
        <w:gridCol w:w="2282"/>
      </w:tblGrid>
      <w:tr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NICE 조직의 AI</w:t>
            </w:r>
          </w:p>
        </w:tc>
        <w:tc>
          <w:tcPr>
            <w:tcW w:type="dxa" w:w="397"/>
            <w:vMerge w:val="restart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C9CFCF"/>
                <w:sz w:val="19"/>
              </w:rPr>
              <w:t>▶</w:t>
            </w:r>
          </w:p>
        </w:tc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iM MCP 서버</w:t>
            </w:r>
          </w:p>
        </w:tc>
        <w:tc>
          <w:tcPr>
            <w:tcW w:type="dxa" w:w="397"/>
            <w:vMerge w:val="restart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C9CFCF"/>
                <w:sz w:val="19"/>
              </w:rPr>
              <w:t>▶</w:t>
            </w:r>
          </w:p>
        </w:tc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iM 오픈API</w:t>
            </w:r>
          </w:p>
        </w:tc>
        <w:tc>
          <w:tcPr>
            <w:tcW w:type="dxa" w:w="397"/>
            <w:vMerge w:val="restart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C9CFCF"/>
                <w:sz w:val="19"/>
              </w:rPr>
              <w:t>▶</w:t>
            </w:r>
          </w:p>
        </w:tc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계정계 원장</w:t>
            </w:r>
          </w:p>
        </w:tc>
      </w:tr>
      <w:tr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상담 · 나이스체크 · 영업</w:t>
            </w:r>
          </w:p>
        </w:tc>
        <w:tc>
          <w:tcPr>
            <w:tcW w:type="dxa" w:w="397"/>
            <w:vMerge/>
          </w:tcPr>
          <w:p/>
        </w:tc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협약 업체만 접근</w:t>
            </w:r>
          </w:p>
        </w:tc>
        <w:tc>
          <w:tcPr>
            <w:tcW w:type="dxa" w:w="397"/>
            <w:vMerge/>
          </w:tcPr>
          <w:p/>
        </w:tc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기존 대외 제공 승인 경로</w:t>
            </w:r>
          </w:p>
        </w:tc>
        <w:tc>
          <w:tcPr>
            <w:tcW w:type="dxa" w:w="397"/>
            <w:vMerge/>
          </w:tcPr>
          <w:p/>
        </w:tc>
        <w:tc>
          <w:tcPr>
            <w:tcW w:type="dxa" w:w="2282"/>
            <w:shd w:val="clear" w:color="auto" w:fill="F7F9F9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계좌 · 이체 · 인증</w:t>
            </w:r>
          </w:p>
        </w:tc>
      </w:tr>
    </w:tbl>
    <w:p>
      <w:pPr>
        <w:spacing w:before="0" w:after="0" w:line="240" w:lineRule="auto"/>
        <w:rPr>
          <w:sz w:val="4"/>
          <w:szCs w:val="4"/>
        </w:rPr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0319"/>
      </w:tblGrid>
      <w:tr>
        <w:tc>
          <w:tcPr>
            <w:tcW w:type="dxa" w:w="10318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결합 데이터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 xml:space="preserve">NICE 결제·정산 데이터가 함께 호출되어 「예정↔실입금」 대조가 성립함.    </w:t>
            </w: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통제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자금이 이동하는 실행은 「iM뱅크」 앱 인증·전자서명을 거쳐야만 개시됨.</w:t>
            </w:r>
          </w:p>
        </w:tc>
      </w:tr>
    </w:tbl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p>
      <w:pPr>
        <w:autoSpaceDN w:val="0"/>
        <w:autoSpaceDE w:val="0"/>
        <w:spacing w:before="0" w:after="0" w:line="240" w:lineRule="auto"/>
        <w:pBdr>
          <w:bottom w:val="single" w:sz="8" w:space="1" w:color="C6CBCB"/>
        </w:pBdr>
      </w:pPr>
      <w:r>
        <w:rPr>
          <w:rFonts w:eastAsia="맑은 고딕" w:ascii="맑은 고딕" w:hAnsi="맑은 고딕"/>
          <w:b/>
          <w:color w:val="2B3030"/>
          <w:sz w:val="19"/>
        </w:rPr>
        <w:t>2. 과제 선정 기준</w:t>
      </w:r>
    </w:p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0319"/>
      </w:tblGrid>
      <w:tr>
        <w:tc>
          <w:tcPr>
            <w:tcW w:type="dxa" w:w="10318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6"/>
              </w:rPr>
              <w:t>협력사 조직 안의 AI가 당행 도구를 호출해야만 성립하는 과제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당행 내부 AI로 구현 가능한 과제(행원 업무지원, 여신 차주 모니터링 등)는 MCP 활용 사례로 부적합하여 제외함.</w:t>
            </w:r>
          </w:p>
        </w:tc>
      </w:tr>
    </w:tbl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p>
      <w:pPr>
        <w:autoSpaceDN w:val="0"/>
        <w:autoSpaceDE w:val="0"/>
        <w:spacing w:before="0" w:after="0" w:line="240" w:lineRule="auto"/>
        <w:pBdr>
          <w:bottom w:val="single" w:sz="8" w:space="1" w:color="C6CBCB"/>
        </w:pBdr>
      </w:pPr>
      <w:r>
        <w:rPr>
          <w:rFonts w:eastAsia="맑은 고딕" w:ascii="맑은 고딕" w:hAnsi="맑은 고딕"/>
          <w:b/>
          <w:color w:val="2B3030"/>
          <w:sz w:val="19"/>
        </w:rPr>
        <w:t>3. 과제 3안</w:t>
      </w:r>
      <w:r>
        <w:rPr>
          <w:rFonts w:eastAsia="맑은 고딕" w:ascii="맑은 고딕" w:hAnsi="맑은 고딕"/>
          <w:b w:val="0"/>
          <w:color w:val="666666"/>
          <w:sz w:val="15"/>
        </w:rPr>
        <w:t xml:space="preserve">      각 안은 독립 추진 가능</w:t>
      </w:r>
    </w:p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701"/>
        <w:gridCol w:w="8618"/>
      </w:tblGrid>
      <w:tr>
        <w:tc>
          <w:tcPr>
            <w:tcW w:type="dxa" w:w="1701"/>
            <w:shd w:val="clear" w:color="auto" w:fill="EFF1F1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7"/>
              </w:rPr>
              <w:t>1안</w:t>
            </w:r>
          </w:p>
        </w:tc>
        <w:tc>
          <w:tcPr>
            <w:tcW w:type="dxa" w:w="8617"/>
            <w:shd w:val="clear" w:color="auto" w:fill="EFF1F1"/>
          </w:tcPr>
          <w:p>
            <w:pPr>
              <w:autoSpaceDN w:val="0"/>
              <w:autoSpaceDE w:val="0"/>
              <w:spacing w:before="0" w:after="0" w:line="240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7"/>
              </w:rPr>
              <w:t>정산 미입금 원인 진단</w:t>
            </w:r>
            <w:r>
              <w:rPr>
                <w:rFonts w:eastAsia="맑은 고딕" w:ascii="맑은 고딕" w:hAnsi="맑은 고딕"/>
                <w:b w:val="0"/>
                <w:color w:val="9A9F9F"/>
                <w:sz w:val="15"/>
              </w:rPr>
              <w:t xml:space="preserve">        사용자·접점  </w:t>
            </w:r>
            <w:r>
              <w:rPr>
                <w:rFonts w:eastAsia="맑은 고딕" w:ascii="맑은 고딕" w:hAnsi="맑은 고딕"/>
                <w:b/>
                <w:color w:val="666666"/>
                <w:sz w:val="15"/>
              </w:rPr>
              <w:t>NICE 고객센터 상담원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현황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가맹점의 정산 미입금 문의 시 「계좌 수취 불가·분할 입금」은 은행만 확인 가능하여 상담이 은행으로 이관되며, 가맹점이 양측을 오가는 동안 처리가 지연됨.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서비스 장면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“○○가맹점 8월 14일 정산이 왜 안 들어갔지?”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→  NICE 이체는 8/14 09:00 실행됨. 수취 계좌 상태 이상으로 반송되었으며, 가맹점에 정산계좌 확인 안내가 필요함.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역할 분담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NICE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상담 AI 탑재·운영, 정산 예정 및 이체 결과 데이터 제공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iM뱅크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계좌 수취 가능 여부·실입금 확인 도구 제공 (MCP)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MCP 필요 사유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상담원은 NICE 소속·NICE 시스템 근무로 당행 내부 AI로 대체 불가. 문의 유형이 비정형이라 사전 화면 구성도 불가.</w:t>
            </w:r>
          </w:p>
        </w:tc>
      </w:tr>
    </w:tbl>
    <w:p>
      <w:pPr>
        <w:spacing w:before="0" w:after="0" w:line="240" w:lineRule="auto"/>
        <w:rPr>
          <w:sz w:val="5"/>
          <w:szCs w:val="5"/>
        </w:rPr>
      </w:pPr>
      <w:r>
        <w:rPr>
          <w:sz w:val="5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701"/>
        <w:gridCol w:w="8618"/>
      </w:tblGrid>
      <w:tr>
        <w:tc>
          <w:tcPr>
            <w:tcW w:type="dxa" w:w="1701"/>
            <w:shd w:val="clear" w:color="auto" w:fill="EFF1F1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7"/>
              </w:rPr>
              <w:t>2안</w:t>
            </w:r>
          </w:p>
        </w:tc>
        <w:tc>
          <w:tcPr>
            <w:tcW w:type="dxa" w:w="8617"/>
            <w:shd w:val="clear" w:color="auto" w:fill="EFF1F1"/>
          </w:tcPr>
          <w:p>
            <w:pPr>
              <w:autoSpaceDN w:val="0"/>
              <w:autoSpaceDE w:val="0"/>
              <w:spacing w:before="0" w:after="0" w:line="240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7"/>
              </w:rPr>
              <w:t>가맹점 정산 도우미</w:t>
            </w:r>
            <w:r>
              <w:rPr>
                <w:rFonts w:eastAsia="맑은 고딕" w:ascii="맑은 고딕" w:hAnsi="맑은 고딕"/>
                <w:b w:val="0"/>
                <w:color w:val="9A9F9F"/>
                <w:sz w:val="15"/>
              </w:rPr>
              <w:t xml:space="preserve">        사용자·접점  </w:t>
            </w:r>
            <w:r>
              <w:rPr>
                <w:rFonts w:eastAsia="맑은 고딕" w:ascii="맑은 고딕" w:hAnsi="맑은 고딕"/>
                <w:b/>
                <w:color w:val="666666"/>
                <w:sz w:val="15"/>
              </w:rPr>
              <w:t>「나이스체크」 이용 가맹점 사장님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현황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「나이스체크」는 매출과 입금 예정액까지 제공하나, 실제 입금 여부와 예정액과의 차이 원인은 확인 불가. 가맹점이 통장과 직접 대조해야 하나 실제 수행률이 낮음.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서비스 장면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“어제 매출 200만 원인데 왜 152만 원만 들어왔어?”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→  수수료 4.8만 원, 취소 43.2만 원이 차감되었습니다. 취소 3건의 상세 내역을 확인하실 수 있습니다.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역할 분담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NICE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「나이스체크」에 AI 탑재, 정산 예정·승인·취소 데이터 제공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iM뱅크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실입금·잔액 조회 및 「예정↔입금」 대사 도구 제공 (MCP)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MCP 필요 사유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가맹점은 「나이스체크」 이용자로 당행이 직접 접점을 확보할 수 없음. 질의 유형이 무한하여 화면 사전 구성 불가.</w:t>
            </w:r>
          </w:p>
        </w:tc>
      </w:tr>
    </w:tbl>
    <w:p>
      <w:pPr>
        <w:spacing w:before="0" w:after="0" w:line="240" w:lineRule="auto"/>
        <w:rPr>
          <w:sz w:val="5"/>
          <w:szCs w:val="5"/>
        </w:rPr>
      </w:pPr>
      <w:r>
        <w:rPr>
          <w:sz w:val="5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701"/>
        <w:gridCol w:w="8618"/>
      </w:tblGrid>
      <w:tr>
        <w:tc>
          <w:tcPr>
            <w:tcW w:type="dxa" w:w="1701"/>
            <w:shd w:val="clear" w:color="auto" w:fill="EFF1F1"/>
          </w:tcPr>
          <w:p>
            <w:pPr>
              <w:autoSpaceDN w:val="0"/>
              <w:autoSpaceDE w:val="0"/>
              <w:spacing w:before="0" w:after="0" w:line="240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7"/>
              </w:rPr>
              <w:t>3안</w:t>
            </w:r>
          </w:p>
        </w:tc>
        <w:tc>
          <w:tcPr>
            <w:tcW w:type="dxa" w:w="8617"/>
            <w:shd w:val="clear" w:color="auto" w:fill="EFF1F1"/>
          </w:tcPr>
          <w:p>
            <w:pPr>
              <w:autoSpaceDN w:val="0"/>
              <w:autoSpaceDE w:val="0"/>
              <w:spacing w:before="0" w:after="0" w:line="240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7"/>
              </w:rPr>
              <w:t>정산금 담보 선정산</w:t>
            </w:r>
            <w:r>
              <w:rPr>
                <w:rFonts w:eastAsia="맑은 고딕" w:ascii="맑은 고딕" w:hAnsi="맑은 고딕"/>
                <w:b w:val="0"/>
                <w:color w:val="9A9F9F"/>
                <w:sz w:val="15"/>
              </w:rPr>
              <w:t xml:space="preserve">        사용자·접점  </w:t>
            </w:r>
            <w:r>
              <w:rPr>
                <w:rFonts w:eastAsia="맑은 고딕" w:ascii="맑은 고딕" w:hAnsi="맑은 고딕"/>
                <w:b/>
                <w:color w:val="666666"/>
                <w:sz w:val="15"/>
              </w:rPr>
              <w:t>「나이스체크」 이용 가맹점 사장님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현황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정산까지 D+2가 소요되어 단기 자금 부족 시 고금리 대체수단을 이용함. NICE는 정산 예정액을 보유하나 여신업 미영위로 자금 공급 불가.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서비스 장면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“모레 들어올 돈을 오늘 미리 받을 수 있어?”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→  D+2 정산 예정 320만 원을 담보로 오늘 250만 원까지 가능합니다. 정산금 입금 시 자동 상환됩니다.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역할 분담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NICE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정산 예정액 제공·확약, 「나이스체크」 접점 제공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 xml:space="preserve">iM뱅크  </w:t>
            </w: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기존 선정산 상품 연계 · 한도 판단(자동 심사 가능 시) · 정산금 자동 상환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※ 실행 승인은 「iM뱅크」 앱 인증·전자서명으로 마감(통제). 필요 시 「iM뱅크 기업」에서도 동일 기능 제공 가능.</w:t>
            </w:r>
          </w:p>
        </w:tc>
      </w:tr>
      <w:tr>
        <w:tc>
          <w:tcPr>
            <w:tcW w:type="dxa" w:w="1701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MCP 필요 사유</w:t>
            </w:r>
          </w:p>
        </w:tc>
        <w:tc>
          <w:tcPr>
            <w:tcW w:type="dxa" w:w="8617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가맹점 접점이 NICE에 있고, 담보가 되는 정산 예정액은 NICE만 확인 가능하여 당행 단독 상품화 불가.</w:t>
            </w:r>
          </w:p>
        </w:tc>
      </w:tr>
    </w:tbl>
    <w:p>
      <w:pPr>
        <w:spacing w:before="0" w:after="0" w:line="240" w:lineRule="auto"/>
        <w:rPr>
          <w:sz w:val="5"/>
          <w:szCs w:val="5"/>
        </w:rPr>
      </w:pPr>
      <w:r>
        <w:rPr>
          <w:sz w:val="5"/>
        </w:rPr>
      </w:r>
    </w:p>
    <w:p>
      <w:pPr>
        <w:spacing w:before="0" w:after="0" w:line="240" w:lineRule="auto"/>
        <w:rPr>
          <w:sz w:val="3"/>
          <w:szCs w:val="3"/>
        </w:rPr>
      </w:pPr>
      <w:r>
        <w:rPr>
          <w:sz w:val="3"/>
        </w:rPr>
      </w:r>
    </w:p>
    <w:p>
      <w:pPr>
        <w:autoSpaceDN w:val="0"/>
        <w:autoSpaceDE w:val="0"/>
        <w:spacing w:before="0" w:after="0" w:line="240" w:lineRule="auto"/>
        <w:pBdr>
          <w:bottom w:val="single" w:sz="8" w:space="1" w:color="C6CBCB"/>
        </w:pBdr>
      </w:pPr>
      <w:r>
        <w:rPr>
          <w:rFonts w:eastAsia="맑은 고딕" w:ascii="맑은 고딕" w:hAnsi="맑은 고딕"/>
          <w:b/>
          <w:color w:val="2B3030"/>
          <w:sz w:val="19"/>
        </w:rPr>
        <w:t>4. 안별 기대효과</w:t>
      </w:r>
    </w:p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474"/>
        <w:gridCol w:w="2948"/>
        <w:gridCol w:w="2948"/>
        <w:gridCol w:w="2948"/>
      </w:tblGrid>
      <w:tr>
        <w:tc>
          <w:tcPr>
            <w:tcW w:type="dxa" w:w="1474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구분</w:t>
            </w:r>
          </w:p>
        </w:tc>
        <w:tc>
          <w:tcPr>
            <w:tcW w:type="dxa" w:w="2948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1안  정산 미입금 진단</w:t>
            </w:r>
          </w:p>
        </w:tc>
        <w:tc>
          <w:tcPr>
            <w:tcW w:type="dxa" w:w="2948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2안  가맹점 정산 도우미</w:t>
            </w:r>
          </w:p>
        </w:tc>
        <w:tc>
          <w:tcPr>
            <w:tcW w:type="dxa" w:w="2948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3안  정산금 담보 선정산</w:t>
            </w:r>
          </w:p>
        </w:tc>
      </w:tr>
      <w:tr>
        <w:tc>
          <w:tcPr>
            <w:tcW w:type="dxa" w:w="1474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NICE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상담 처리시간·은행 이관율 감소 → 고객센터 운영비용 절감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「나이스체크」 기능 고도화 — 수수료 외 이탈 방지 수단 확보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가맹점 이탈 방지 수단 중 최대 · 선정산 모집 수수료</w:t>
            </w:r>
          </w:p>
        </w:tc>
      </w:tr>
      <w:tr>
        <w:tc>
          <w:tcPr>
            <w:tcW w:type="dxa" w:w="1474"/>
            <w:shd w:val="clear" w:color="auto" w:fill="FBFCFC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iM뱅크</w:t>
            </w:r>
          </w:p>
        </w:tc>
        <w:tc>
          <w:tcPr>
            <w:tcW w:type="dxa" w:w="2948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NICE 상담 프로세스에 당행 도구 상시 연동 · 정산계좌 전환 유도</w:t>
            </w:r>
          </w:p>
        </w:tc>
        <w:tc>
          <w:tcPr>
            <w:tcW w:type="dxa" w:w="2948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전국 가맹점 접점 확보(TK 외 확장) · 정산 흐름 확보로 여신 심사 근거 축적</w:t>
            </w:r>
          </w:p>
        </w:tc>
        <w:tc>
          <w:tcPr>
            <w:tcW w:type="dxa" w:w="2948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기존 선정산 상품의 판매 채널 확대 · 정산계좌 유치로 저원가성 예금</w:t>
            </w:r>
          </w:p>
        </w:tc>
      </w:tr>
      <w:tr>
        <w:tc>
          <w:tcPr>
            <w:tcW w:type="dxa" w:w="1474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난이도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낮음</w:t>
            </w: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 xml:space="preserve">   조회 전용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중간</w:t>
            </w: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 xml:space="preserve">   조회·동의 체계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중간</w:t>
            </w: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 xml:space="preserve">   기존 상품 연계</w:t>
            </w:r>
          </w:p>
        </w:tc>
      </w:tr>
    </w:tbl>
    <w:p>
      <w:pPr>
        <w:autoSpaceDN w:val="0"/>
        <w:autoSpaceDE w:val="0"/>
        <w:spacing w:before="0" w:after="0" w:line="240" w:lineRule="auto"/>
        <w:rPr>
          <w:sz w:val="2"/>
          <w:szCs w:val="2"/>
        </w:rPr>
      </w:pPr>
      <w:r>
        <w:br w:type="page"/>
      </w:r>
    </w:p>
    <w:p>
      <w:pPr>
        <w:autoSpaceDN w:val="0"/>
        <w:autoSpaceDE w:val="0"/>
        <w:spacing w:before="0" w:after="0" w:line="240" w:lineRule="auto"/>
        <w:pBdr>
          <w:bottom w:val="single" w:sz="6" w:space="1" w:color="DCE0E0"/>
        </w:pBdr>
      </w:pPr>
      <w:r>
        <w:rPr>
          <w:rFonts w:eastAsia="맑은 고딕" w:ascii="맑은 고딕" w:hAnsi="맑은 고딕"/>
          <w:b/>
          <w:color w:val="9A9F9F"/>
          <w:sz w:val="17"/>
        </w:rPr>
        <w:t>부속 자료</w:t>
      </w:r>
    </w:p>
    <w:p>
      <w:pPr>
        <w:spacing w:before="0" w:after="0" w:line="240" w:lineRule="auto"/>
        <w:rPr>
          <w:sz w:val="10"/>
          <w:szCs w:val="10"/>
        </w:rPr>
      </w:pPr>
      <w:r>
        <w:rPr>
          <w:sz w:val="10"/>
        </w:rPr>
      </w:r>
    </w:p>
    <w:p>
      <w:pPr>
        <w:autoSpaceDN w:val="0"/>
        <w:autoSpaceDE w:val="0"/>
        <w:spacing w:before="0" w:after="0" w:line="240" w:lineRule="auto"/>
        <w:pBdr>
          <w:bottom w:val="single" w:sz="8" w:space="1" w:color="C6CBCB"/>
        </w:pBdr>
      </w:pPr>
      <w:r>
        <w:rPr>
          <w:rFonts w:eastAsia="맑은 고딕" w:ascii="맑은 고딕" w:hAnsi="맑은 고딕"/>
          <w:b/>
          <w:color w:val="2B3030"/>
          <w:sz w:val="19"/>
        </w:rPr>
        <w:t>5. 안별 구축 방향</w:t>
      </w:r>
    </w:p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474"/>
        <w:gridCol w:w="2948"/>
        <w:gridCol w:w="2948"/>
        <w:gridCol w:w="2948"/>
      </w:tblGrid>
      <w:tr>
        <w:tc>
          <w:tcPr>
            <w:tcW w:type="dxa" w:w="1474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구분</w:t>
            </w:r>
          </w:p>
        </w:tc>
        <w:tc>
          <w:tcPr>
            <w:tcW w:type="dxa" w:w="2948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1안  정산 미입금 진단</w:t>
            </w:r>
          </w:p>
        </w:tc>
        <w:tc>
          <w:tcPr>
            <w:tcW w:type="dxa" w:w="2948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2안  가맹점 정산 도우미</w:t>
            </w:r>
          </w:p>
        </w:tc>
        <w:tc>
          <w:tcPr>
            <w:tcW w:type="dxa" w:w="2948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3안  정산금 담보 선정산</w:t>
            </w:r>
          </w:p>
        </w:tc>
      </w:tr>
      <w:tr>
        <w:tc>
          <w:tcPr>
            <w:tcW w:type="dxa" w:w="1474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구축 순서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① 미입금 문의 유형·빈도 분석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② MCP 도구 명세 확정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③ MCP 서버 구축(모의 데이터)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④ NICE 상담시스템 연동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⑤ 대상 한정 검증·효과 측정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① 가맹점 대화 시나리오 정의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② 「예정↔입금」 대사 규칙 확정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③ 대화 인터페이스 도구 추가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④ 「나이스체크」 연동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⑤ 정산 알림 체계 가동</w:t>
            </w:r>
          </w:p>
        </w:tc>
        <w:tc>
          <w:tcPr>
            <w:tcW w:type="dxa" w:w="2948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① 기존 선정산 상품 요건 확인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② 정산 예정액 담보 판정 규칙 정의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③ 승인·인증(HITL) 연동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④ 정산금 자동 상환 연계</w:t>
            </w:r>
          </w:p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⑤ 한도 자동 산출(가능 시)</w:t>
            </w:r>
          </w:p>
        </w:tc>
      </w:tr>
      <w:tr>
        <w:tc>
          <w:tcPr>
            <w:tcW w:type="dxa" w:w="1474"/>
            <w:shd w:val="clear" w:color="auto" w:fill="FBFCFC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선행 확인</w:t>
            </w:r>
          </w:p>
        </w:tc>
        <w:tc>
          <w:tcPr>
            <w:tcW w:type="dxa" w:w="2948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NICE 상담 AI 도입 여부 · 가맹점 동의</w:t>
            </w:r>
          </w:p>
        </w:tc>
        <w:tc>
          <w:tcPr>
            <w:tcW w:type="dxa" w:w="2948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「나이스체크」 개발 리소스 · 알림 채널</w:t>
            </w:r>
          </w:p>
        </w:tc>
        <w:tc>
          <w:tcPr>
            <w:tcW w:type="dxa" w:w="2948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666666"/>
                <w:sz w:val="15"/>
              </w:rPr>
              <w:t>기존 선정산 상품 요건 · 정산 예정액 확약</w:t>
            </w:r>
          </w:p>
        </w:tc>
      </w:tr>
    </w:tbl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p>
      <w:pPr>
        <w:autoSpaceDN w:val="0"/>
        <w:autoSpaceDE w:val="0"/>
        <w:spacing w:before="0" w:after="0" w:line="240" w:lineRule="auto"/>
        <w:pBdr>
          <w:bottom w:val="single" w:sz="8" w:space="1" w:color="C6CBCB"/>
        </w:pBdr>
      </w:pPr>
      <w:r>
        <w:rPr>
          <w:rFonts w:eastAsia="맑은 고딕" w:ascii="맑은 고딕" w:hAnsi="맑은 고딕"/>
          <w:b/>
          <w:color w:val="2B3030"/>
          <w:sz w:val="19"/>
        </w:rPr>
        <w:t>6. 참고 — 3개 안의 연계 가능성</w:t>
      </w:r>
    </w:p>
    <w:p>
      <w:pPr>
        <w:spacing w:before="0" w:after="0" w:line="240" w:lineRule="auto"/>
        <w:rPr>
          <w:sz w:val="6"/>
          <w:szCs w:val="6"/>
        </w:rPr>
      </w:pPr>
      <w:r>
        <w:rPr>
          <w:sz w:val="6"/>
        </w:rPr>
      </w:r>
    </w:p>
    <w:p>
      <w:pPr>
        <w:autoSpaceDN w:val="0"/>
        <w:autoSpaceDE w:val="0"/>
        <w:spacing w:before="0" w:after="60" w:line="247" w:lineRule="auto"/>
      </w:pPr>
      <w:r>
        <w:rPr>
          <w:rFonts w:eastAsia="맑은 고딕" w:ascii="맑은 고딕" w:hAnsi="맑은 고딕"/>
          <w:b w:val="0"/>
          <w:color w:val="666666"/>
          <w:sz w:val="16"/>
        </w:rPr>
        <w:t>각 안은 독립적으로 추진 가능함. 다만 아래와 같이 도구를 공유하므로, 어느 안을 먼저 추진하더라도 해당 도구가 후속 안에 그대로 재사용됨.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5216"/>
        <w:gridCol w:w="1701"/>
        <w:gridCol w:w="1701"/>
        <w:gridCol w:w="1701"/>
      </w:tblGrid>
      <w:tr>
        <w:tc>
          <w:tcPr>
            <w:tcW w:type="dxa" w:w="5216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MCP 도구</w:t>
            </w:r>
          </w:p>
        </w:tc>
        <w:tc>
          <w:tcPr>
            <w:tcW w:type="dxa" w:w="1701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1안</w:t>
            </w:r>
          </w:p>
        </w:tc>
        <w:tc>
          <w:tcPr>
            <w:tcW w:type="dxa" w:w="1701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2안</w:t>
            </w:r>
          </w:p>
        </w:tc>
        <w:tc>
          <w:tcPr>
            <w:tcW w:type="dxa" w:w="1701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3안</w:t>
            </w:r>
          </w:p>
        </w:tc>
      </w:tr>
      <w:tr>
        <w:tc>
          <w:tcPr>
            <w:tcW w:type="dxa" w:w="5216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정산 예정 조회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</w:tr>
      <w:tr>
        <w:tc>
          <w:tcPr>
            <w:tcW w:type="dxa" w:w="5216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실입금·잔액 조회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</w:tr>
      <w:tr>
        <w:tc>
          <w:tcPr>
            <w:tcW w:type="dxa" w:w="5216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계좌 수취 가능 확인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</w:tr>
      <w:tr>
        <w:tc>
          <w:tcPr>
            <w:tcW w:type="dxa" w:w="5216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「예정↔입금」 대사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</w:tr>
      <w:tr>
        <w:tc>
          <w:tcPr>
            <w:tcW w:type="dxa" w:w="5216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가맹점 대화 인터페이스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C9CFCF"/>
                <w:sz w:val="15"/>
              </w:rPr>
              <w:t>○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  <w:tc>
          <w:tcPr>
            <w:tcW w:type="dxa" w:w="1701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</w:tr>
      <w:tr>
        <w:tc>
          <w:tcPr>
            <w:tcW w:type="dxa" w:w="5216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선정산 한도 판단·연계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C9CFCF"/>
                <w:sz w:val="15"/>
              </w:rPr>
              <w:t>○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C9CFCF"/>
                <w:sz w:val="15"/>
              </w:rPr>
              <w:t>○</w:t>
            </w:r>
          </w:p>
        </w:tc>
        <w:tc>
          <w:tcPr>
            <w:tcW w:type="dxa" w:w="1701"/>
            <w:shd w:val="clear" w:color="auto" w:fill="FBFCFC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C7A9"/>
                <w:sz w:val="15"/>
              </w:rPr>
              <w:t>●</w:t>
            </w:r>
          </w:p>
        </w:tc>
      </w:tr>
      <w:tr>
        <w:tc>
          <w:tcPr>
            <w:tcW w:type="dxa" w:w="5216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/>
                <w:color w:val="2B3030"/>
                <w:sz w:val="15"/>
              </w:rPr>
              <w:t>신규 개발 (직전 안 대비)</w:t>
            </w:r>
          </w:p>
        </w:tc>
        <w:tc>
          <w:tcPr>
            <w:tcW w:type="dxa" w:w="1701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4종</w:t>
            </w:r>
          </w:p>
        </w:tc>
        <w:tc>
          <w:tcPr>
            <w:tcW w:type="dxa" w:w="1701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1종</w:t>
            </w:r>
          </w:p>
        </w:tc>
        <w:tc>
          <w:tcPr>
            <w:tcW w:type="dxa" w:w="1701"/>
            <w:shd w:val="clear" w:color="auto" w:fill="F0F2F2"/>
          </w:tcPr>
          <w:p>
            <w:pPr>
              <w:autoSpaceDN w:val="0"/>
              <w:autoSpaceDE w:val="0"/>
              <w:spacing w:before="0" w:after="0" w:line="247" w:lineRule="auto"/>
              <w:jc w:val="center"/>
            </w:pPr>
            <w:r>
              <w:rPr>
                <w:rFonts w:eastAsia="맑은 고딕" w:ascii="맑은 고딕" w:hAnsi="맑은 고딕"/>
                <w:b/>
                <w:color w:val="007A69"/>
                <w:sz w:val="15"/>
              </w:rPr>
              <w:t>1종</w:t>
            </w:r>
          </w:p>
        </w:tc>
      </w:tr>
    </w:tbl>
    <w:p>
      <w:pPr>
        <w:spacing w:before="0" w:after="0" w:line="240" w:lineRule="auto"/>
        <w:rPr>
          <w:sz w:val="5"/>
          <w:szCs w:val="5"/>
        </w:rPr>
      </w:pPr>
      <w:r>
        <w:rPr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CellMar>
          <w:top w:w="11" w:type="dxa"/>
          <w:left w:w="62" w:type="dxa"/>
          <w:bottom w:w="11" w:type="dxa"/>
          <w:right w:w="62" w:type="dxa"/>
        </w:tblCellMar>
        <w:tblBorders>
          <w:top w:val="single" w:sz="4" w:space="0" w:color="DCE0E0"/>
          <w:left w:val="single" w:sz="4" w:space="0" w:color="DCE0E0"/>
          <w:bottom w:val="single" w:sz="4" w:space="0" w:color="DCE0E0"/>
          <w:right w:val="single" w:sz="4" w:space="0" w:color="DCE0E0"/>
          <w:insideH w:val="single" w:sz="4" w:space="0" w:color="DCE0E0"/>
          <w:insideV w:val="single" w:sz="4" w:space="0" w:color="DCE0E0"/>
        </w:tblBorders>
      </w:tblPr>
      <w:tblGrid>
        <w:gridCol w:w="10319"/>
      </w:tblGrid>
      <w:tr>
        <w:tc>
          <w:tcPr>
            <w:tcW w:type="dxa" w:w="10318"/>
            <w:shd w:val="clear" w:color="auto" w:fill="F7F9F9"/>
          </w:tcPr>
          <w:p>
            <w:pPr>
              <w:autoSpaceDN w:val="0"/>
              <w:autoSpaceDE w:val="0"/>
              <w:spacing w:before="0" w:after="0" w:line="247" w:lineRule="auto"/>
            </w:pPr>
            <w:r>
              <w:rPr>
                <w:rFonts w:eastAsia="맑은 고딕" w:ascii="맑은 고딕" w:hAnsi="맑은 고딕"/>
                <w:b w:val="0"/>
                <w:color w:val="222626"/>
                <w:sz w:val="15"/>
              </w:rPr>
              <w:t>1안에서 구축하는 도구 4종이 2안·3안의 기반이 되며, 안이 확대되어도 신규 개발은 1종씩만 추가됨. 즉 시범과제에서 만든 결과물이 폐기되지 않고 후속 과제의 개발 범위를 줄이는 구조로, MCP 방식으로 구축하는 실익이 여기에서 발생함.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794" w:bottom="624" w:left="79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autoSpaceDN w:val="0"/>
      <w:autoSpaceDE w:val="0"/>
      <w:spacing w:before="0" w:after="0"/>
      <w:jc w:val="center"/>
    </w:pPr>
    <w:r>
      <w:rPr>
        <w:rFonts w:eastAsia="맑은 고딕" w:ascii="맑은 고딕" w:hAnsi="맑은 고딕"/>
        <w:b w:val="0"/>
        <w:color w:val="9A9F9F"/>
        <w:sz w:val="14"/>
      </w:rPr>
      <w:t xml:space="preserve">iM뱅크 AX추진부  ·  나이스 협력 MCP 시범과제 추진(안)        </w:t>
    </w:r>
    <w:r>
      <w:rPr>
        <w:rFonts w:eastAsia="맑은 고딕" w:ascii="맑은 고딕" w:hAnsi="맑은 고딕"/>
        <w:b/>
        <w:color w:val="666666"/>
        <w:sz w:val="14"/>
      </w:rPr>
      <w:fldChar w:fldCharType="begin"/>
      <w:instrText xml:space="preserve">PAGE</w:instrText>
      <w:fldChar w:fldCharType="end"/>
    </w:r>
    <w:r>
      <w:rPr>
        <w:rFonts w:eastAsia="맑은 고딕" w:ascii="맑은 고딕" w:hAnsi="맑은 고딕"/>
        <w:b w:val="0"/>
        <w:color w:val="9A9F9F"/>
        <w:sz w:val="14"/>
      </w:rP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7" w:lineRule="auto"/>
    </w:pPr>
    <w:rPr>
      <w:rFonts w:ascii="맑은 고딕" w:hAnsi="맑은 고딕" w:eastAsia="맑은 고딕"/>
      <w:color w:val="22262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