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240" w:after="0"/>
        <w:jc w:val="both"/>
        <w:rPr>
          <w:lang w:val="en-US"/>
        </w:rPr>
      </w:pPr>
      <w:r>
        <w:rPr>
          <w:lang w:val="en-US"/>
        </w:rPr>
        <w:t>Size of transition metal complex (TMC) space</w:t>
      </w:r>
    </w:p>
    <w:p>
      <w:pPr>
        <w:pStyle w:val="Normal"/>
        <w:spacing w:lineRule="auto" w:line="480"/>
        <w:jc w:val="both"/>
        <w:rPr/>
      </w:pPr>
      <w:r>
        <w:rPr>
          <w:lang w:val="en-US"/>
        </w:rPr>
        <w:t>Among the most extensively analyzed chemical subspaces are the organic ones. Due to the graph theoretically tractable nature of carbon scaffolds enumeration is much easier than in other subspaces. The usual number of molecules in the chemical space of organic molecules with less than 500 Da is estimated to be 10</w:t>
      </w:r>
      <w:r>
        <w:rPr>
          <w:vertAlign w:val="superscript"/>
          <w:lang w:val="en-US"/>
        </w:rPr>
        <w:t>60</w:t>
      </w:r>
      <w:r>
        <w:rPr>
          <w:lang w:val="en-US"/>
        </w:rPr>
        <w:t>.</w:t>
      </w:r>
      <w:r>
        <w:fldChar w:fldCharType="begin"/>
      </w:r>
      <w:r>
        <w:rPr/>
        <w:instrText>ADDIN ZOTERO_ITEM CSL_CITATION {"citationID":"RZ4gWu1v","properties":{"formattedCitation":"\\super 1\\uc0\\u8211{}5\\nosupersub{}","plainCitation":"1–5","noteIndex":0},"citationItems":[{"id":872,"uris":["http://zotero.org/users/4258242/items/86UQH9BI"],"uri":["http://zotero.org/users/4258242/items/86UQH9BI"],"itemData":{"id":872,"type":"article-journal","title":"THE NUMBER OF STEREOISOMERIC AND NON-STEREOISOMERIC PARAFFIN HYDROCARBONS","container-title":"Journal of the American Chemical Society","page":"1538-1545","volume":"54","issue":"4","source":"Crossref","DOI":"10.1021/ja01343a044","ISSN":"0002-7863, 1520-5126","note":"bibtex: blair1932","language":"en","author":[{"family":"Blair","given":"Charles M."},{"family":"Henze","given":"Henry R."}],"issued":{"date-parts":[["1932",4]]}}},{"id":871,"uris":["http://zotero.org/users/4258242/items/FVYKJ6DV"],"uri":["http://zotero.org/users/4258242/items/FVYKJ6DV"],"itemData":{"id":871,"type":"article-journal","title":"Estimation of the size of drug-like chemical space based on GDB-17 data","container-title":"Journal of Computer-Aided Molecular Design","page":"675-679","volume":"27","issue":"8","source":"link.springer.com","abstract":"The goal of this paper is to estimate the number of realistic drug-like molecules which could ever be synthesized. Unlike previous studies based on exhaustive enumeration of molecular graphs or on combinatorial enumeration preselected fragments, we used results of constrained graphs enumeration by Reymond to establish a correlation between the number of generated structures (M) and the number of heavy atoms (N): logM = 0.584 × N × logN + 0.356. The number of atoms limiting drug-like chemical space of molecules which follow Lipinsky’s rules (N = 36) has been obtained from the analysis of the PubChem database. This results in M ≈ 1033 which is in between the numbers estimated by Ertl (1023) and by Bohacek (1060).","DOI":"10.1007/s10822-013-9672-4","ISSN":"0920-654X, 1573-4951","note":"bibtex: polishchuk2013","journalAbbreviation":"J Comput Aided Mol Des","language":"en","author":[{"family":"Polishchuk","given":"P. G."},{"family":"Madzhidov","given":"T. I."},{"family":"Varnek","given":"A."}],"issued":{"date-parts":[["2013",8,1]]}}},{"id":870,"uris":["http://zotero.org/users/4258242/items/S2ZWNFAA"],"uri":["http://zotero.org/users/4258242/items/S2ZWNFAA"],"itemData":{"id":870,"type":"article-journal","title":"The art and practice of structure‐based drug design: A molecular modeling perspective","container-title":"Medicinal Research Reviews","page":"3-50","volume":"16","issue":"1","source":"onlinelibrary.wiley.com","DOI":"10.1002/(SICI)1098-1128(199601)16:1&lt;3::AID-MED1&gt;3.0.CO;2-6","ISSN":"1098-1128","note":"bibtex: bohacek1998","shortTitle":"The art and practice of structure‐based drug design","language":"en","author":[{"family":"Bohacek","given":"Regine S."},{"family":"McMartin","given":"Colin"},{"family":"Guida","given":"Wayne C."}],"issued":{"date-parts":[["1998",12,7]]}}},{"id":866,"uris":["http://zotero.org/users/4258242/items/XRAYVBP4"],"uri":["http://zotero.org/users/4258242/items/XRAYVBP4"],"itemData":{"id":866,"type":"article-journal","title":"Scaffold Topologies. 2. Analysis of Chemical Databases","container-title":"Journal of Chemical Information and Modeling","page":"1311-1324","volume":"48","issue":"7","source":"ACS Publications","abstract":"We have systematically enumerated graph representations of scaffold topologies for up to eight-ring molecules and four-valence atoms, thus providing coverage of the lower portion of the chemical space of small molecules (Pollock et al. J. Chem. Inf. Model., this issue). Here, we examine scaffold topology distributions for several databases: ChemNavigator and PubChem for commercially available chemicals, the Dictionary of Natural Products, a set of 2742 launched drugs, WOMBAT, a database of medicinal chemistry compounds, and two subsets of PubChem, “actives” and DSSTox comprising toxic substances. We also examined a virtual database of exhaustively enumerated small organic molecules, GDB (Fink et al. Angew. Chem., Int. Ed. 2005, 44, 1504−1508), and we contrast the scaffold topology distribution from these collections to the complete coverage of up to eight-ring molecules. For reasons related, perhaps, to synthetic accessibility and complexity, scaffolds exhibiting six rings or more are poorly represented. Among all collections examined, PubChem has the greatest scaffold topological diversity, whereas GDB is the most limited. More than 50% of all entries (13 000 000+ actual and 13 000 000+ virtual compounds) exhibit only eight distinct topologies, one of which is the nonscaffold topology that represents all treelike structures. However, most of the topologies are represented by a single or very small number of examples. Within topologies, we found that three-way scaffold connections (3-nodes) are much more frequent compared to four-way (4-node) connections. Fused rings have a slightly higher frequency in biologically oriented databases. Scaffold topologies can be the first step toward an efficient coarse-grained classification scheme of the molecules found in chemical databases.","DOI":"10.1021/ci700342h","ISSN":"1549-9596","note":"bibtex: wester2008","journalAbbreviation":"J. Chem. Inf. Model.","author":[{"family":"Wester","given":"Michael J."},{"family":"Pollock","given":"Sara N."},{"family":"Coutsias","given":"Evangelos A."},{"family":"Allu","given":"Tharun Kumar"},{"family":"Muresan","given":"Sorel"},{"family":"Oprea","given":"Tudor I."}],"issued":{"date-parts":[["2008",7,1]]}}},{"id":864,"uris":["http://zotero.org/users/4258242/items/KW57EG7F"],"uri":["http://zotero.org/users/4258242/items/KW57EG7F"],"itemData":{"id":864,"type":"article-journal","title":"The chemist as astronaut: Searching for biologically useful space in the chemical universe","container-title":"Biochemical Pharmacology","page":"217-223","volume":"78","issue":"3","source":"Crossref","abstract":"Chemical space whether deﬁned by small molecules or large proteins is larger than can be usefully explored. One of the challenges of drug discovery is thus the deﬁnition of the overlap between chemical space, biologically useful space and pharmacological space and how this may be employed in the discovery of new small molecule drugs. Despite the decrease in drug discovery productivity in recent years there is no shortage of targets for small molecule intervention, including stroke, pain, neurodegenerative diseases, inﬂammation and bacterial and viral infections.","DOI":"10.1016/j.bcp.2009.02.015","ISSN":"00062952","note":"bibtex: triggle2009","shortTitle":"The chemist as astronaut","language":"en","author":[{"family":"Triggle","given":"David J."}],"issued":{"date-parts":[["2009",8]]}}}],"schema":"https://github.com/citation-style-language/schema/raw/master/csl-citation.json"}</w:instrText>
      </w:r>
      <w:r>
        <w:rPr/>
        <w:fldChar w:fldCharType="separate"/>
      </w:r>
      <w:bookmarkStart w:id="0" w:name="__Fieldmark__7_3510515060"/>
      <w:r>
        <w:rPr>
          <w:lang w:val="en-US"/>
        </w:rPr>
      </w:r>
      <w:r>
        <w:rPr>
          <w:rFonts w:cs="Calibri"/>
          <w:sz w:val="20"/>
          <w:szCs w:val="24"/>
          <w:vertAlign w:val="superscript"/>
          <w:lang w:val="en-US"/>
        </w:rPr>
        <w:t>1–5</w:t>
      </w:r>
      <w:r>
        <w:rPr>
          <w:lang w:val="en-US"/>
        </w:rPr>
      </w:r>
      <w:r>
        <w:rPr/>
        <w:fldChar w:fldCharType="end"/>
      </w:r>
      <w:bookmarkEnd w:id="0"/>
      <w:r>
        <w:rPr>
          <w:lang w:val="en-US"/>
        </w:rPr>
        <w:t xml:space="preserve"> Including larger molecules and materials from the whole periodic table ends up in a vastly larger number of molecules still.</w:t>
      </w:r>
    </w:p>
    <w:p>
      <w:pPr>
        <w:pStyle w:val="Normal"/>
        <w:spacing w:lineRule="auto" w:line="480"/>
        <w:jc w:val="both"/>
        <w:rPr/>
      </w:pPr>
      <w:r>
        <w:rPr>
          <w:color w:val="808080" w:themeColor="background1" w:themeShade="80"/>
          <w:lang w:val="en-US"/>
        </w:rPr>
        <w:t>For enumeration, it is important to find the right representation of molecules.</w:t>
      </w:r>
      <w:r>
        <w:fldChar w:fldCharType="begin"/>
      </w:r>
      <w:r>
        <w:rPr/>
        <w:instrText>ADDIN ZOTERO_ITEM CSL_CITATION {"citationID":"ENAxMQK2","properties":{"formattedCitation":"\\super 6,7\\nosupersub{}","plainCitation":"6,7","noteIndex":0},"citationItems":[{"id":843,"uris":["http://zotero.org/users/4258242/items/Q4P5VILS"],"uri":["http://zotero.org/users/4258242/items/Q4P5VILS"],"itemData":{"id":843,"type":"article-journal","title":"On representing chemical environments","container-title":"Physical Review B","volume":"87","issue":"18","source":"Crossref","URL":"https://link.aps.org/doi/10.1103/PhysRevB.87.184115","DOI":"10.1103/PhysRevB.87.184115","ISSN":"1098-0121, 1550-235X","note":"bibtex:bartok2013","language":"en","author":[{"family":"Bartók","given":"Albert P."},{"family":"Kondor","given":"Risi"},{"family":"Csányi","given":"Gábor"}],"issued":{"date-parts":[["2013",5,28]]},"accessed":{"date-parts":[["2018",6,17]]}}},{"id":842,"uris":["http://zotero.org/users/4258242/items/ZZZ2WSIZ"],"uri":["http://zotero.org/users/4258242/items/ZZZ2WSIZ"],"itemData":{"id":842,"type":"article-journal","title":"Big Data of Materials Science: Critical Role of the Descriptor","container-title":"Physical Review Letters","page":"105503","volume":"114","issue":"10","source":"APS","abstract":"Statistical learning of materials properties or functions so far starts with a largely silent, nonchallenged step: the choice of the set of descriptive parameters (termed descriptor). However, when the scientific connection between the descriptor and the actuating mechanisms is unclear, the causality of the learned descriptor-property relation is uncertain. Thus, a trustful prediction of new promising materials, identification of anomalies, and scientific advancement are doubtful. We analyze this issue and define requirements for a suitable descriptor. For a classic example, the energy difference of zinc blende or wurtzite and rocksalt semiconductors, we demonstrate how a meaningful descriptor can be found systematically.","DOI":"10.1103/PhysRevLett.114.105503","note":"bibtex:ghiringhelli2015","shortTitle":"Big Data of Materials Science","journalAbbreviation":"Phys. Rev. Lett.","author":[{"family":"Ghiringhelli","given":"Luca M."},{"family":"Vybiral","given":"Jan"},{"family":"Levchenko","given":"Sergey V."},{"family":"Draxl","given":"Claudia"},{"family":"Scheffler","given":"Matthias"}],"issued":{"date-parts":[["2015",3,10]]}}}],"schema":"https://github.com/citation-style-language/schema/raw/master/csl-citation.json"}</w:instrText>
      </w:r>
      <w:r>
        <w:rPr/>
        <w:fldChar w:fldCharType="separate"/>
      </w:r>
      <w:bookmarkStart w:id="1" w:name="__Fieldmark__14_3510515060"/>
      <w:r>
        <w:rPr>
          <w:color w:val="808080" w:themeColor="background1" w:themeShade="80"/>
          <w:lang w:val="en-US"/>
        </w:rPr>
      </w:r>
      <w:r>
        <w:rPr>
          <w:rFonts w:cs="Calibri"/>
          <w:color w:val="808080" w:themeColor="background1" w:themeShade="80"/>
          <w:szCs w:val="24"/>
          <w:vertAlign w:val="superscript"/>
          <w:lang w:val="en-US"/>
        </w:rPr>
        <w:t>6,7</w:t>
      </w:r>
      <w:r>
        <w:rPr>
          <w:color w:val="808080" w:themeColor="background1" w:themeShade="80"/>
          <w:lang w:val="en-US"/>
        </w:rPr>
      </w:r>
      <w:r>
        <w:rPr/>
        <w:fldChar w:fldCharType="end"/>
      </w:r>
      <w:bookmarkEnd w:id="1"/>
      <w:r>
        <w:rPr>
          <w:color w:val="808080" w:themeColor="background1" w:themeShade="80"/>
          <w:lang w:val="en-US"/>
        </w:rPr>
        <w:t xml:space="preserve"> Computationally generated data sets consist of the molecule's identity and a number of descriptors. Chemical space can be defined as a Cartesian space in the dimension of the number of the features. Therefore, each set of descriptors spans chemical space in a different way including some molecules that possibly overlap if the descriptor set is not diverse enough. Our descriptors called RACs are introduced in section X.</w:t>
      </w:r>
    </w:p>
    <w:p>
      <w:pPr>
        <w:pStyle w:val="Normal"/>
        <w:spacing w:lineRule="auto" w:line="480"/>
        <w:jc w:val="both"/>
        <w:rPr/>
      </w:pPr>
      <w:r>
        <w:rPr>
          <w:lang w:val="en-US"/>
        </w:rPr>
        <w:t>The largest databases of existing molecules are not only just a fraction of the actual space but is also heavily biased towards easily accessible molecules through synthesis.</w:t>
      </w:r>
      <w:r>
        <w:fldChar w:fldCharType="begin"/>
      </w:r>
      <w:r>
        <w:rPr/>
        <w:instrText>ADDIN ZOTERO_ITEM CSL_CITATION {"citationID":"8X3VGURm","properties":{"formattedCitation":"\\super 8\\uc0\\u8211{}10\\nosupersub{}","plainCitation":"8–10","noteIndex":0},"citationItems":[{"id":868,"uris":["http://zotero.org/users/4258242/items/FTLTKE43"],"uri":["http://zotero.org/users/4258242/items/FTLTKE43"],"itemData":{"id":868,"type":"article-journal","title":"Diversity-oriented synthesis: exploring the intersections between chemistry and biology","container-title":"Nature Chemical Biology","page":"74-84","volume":"1","issue":"2","source":"www.nature.com","abstract":"Diversity-oriented synthesis (DOS) is an emerging field involving the synthesis of combinatorial libraries of diverse small molecules for biological screening. Rather than being directed toward a single biological target, DOS libraries can be used to identify new ligands for a variety of targets. Several different strategies for library design have been developed to target the biologically relevant regions of chemical structure space. DOS has provided powerful probes to investigate biological mechanisms and also served as a new driving force for advancing synthetic organic chemistry.","DOI":"10.1038/nchembio0705-74","ISSN":"1552-4469","note":"bibtex: tan2005","shortTitle":"Diversity-oriented synthesis","language":"en","author":[{"family":"Tan","given":"Derek S."}],"issued":{"date-parts":[["2005",7]]}}},{"id":867,"uris":["http://zotero.org/users/4258242/items/JWEUPNK4"],"uri":["http://zotero.org/users/4258242/items/JWEUPNK4"],"itemData":{"id":867,"type":"article-journal","title":"Drug discovery: A question of library design","container-title":"Nature","page":"42-43","volume":"470","issue":"7332","source":"www.nature.com","abstract":"Two approaches have emerged for creating libraries of compounds for use in biological screening assays for drug discovery — fragment-based ligand design and diversity-oriented synthesis. Advocates of each approach discuss their favoured strategy.","DOI":"10.1038/470042a","ISSN":"1476-4687","note":"bibtex: hajduk2011","shortTitle":"Drug discovery","language":"en","author":[{"family":"Hajduk","given":"Philip J."},{"family":"Galloway","given":"Warren R. J. D."},{"family":"Spring","given":"David R."}],"issued":{"date-parts":[["2011",2]]}}},{"id":869,"uris":["http://zotero.org/users/4258242/items/ZWZYQBPX"],"uri":["http://zotero.org/users/4258242/items/ZWZYQBPX"],"itemData":{"id":869,"type":"article-journal","title":"Diversity-oriented synthesis as a tool for the discovery of novel biologically active small molecules","container-title":"Nature Communications","page":"80","volume":"1","source":"www.nature.com","abstract":"Biologically active molecules can be identified through the screening of small-molecule libraries. Deficiencies in current compound collections are evidenced by the continuing decline in drug-discovery successes. Typically, such collections are comprised of large numbers of structurally similar compounds. A general consensus has emerged that library size is not everything; library diversity, in terms of molecular structure and thus function, is crucial. Diversity-oriented synthesis (DOS) aims to generate such structural diversity in an efficient manner. Recent years have witnessed significant achievements in the field, which help to validate the usefulness of DOS as a tool for the discovery of novel, biologically interesting small molecules.","DOI":"10.1038/ncomms1081","ISSN":"2041-1723","note":"bibtex: galloway2010","language":"en","author":[{"family":"Galloway","given":"Warren R. J. D."},{"family":"Isidro-Llobet","given":"Albert"},{"family":"Spring","given":"David R."}],"issued":{"date-parts":[["2010",9,21]]}}}],"schema":"https://github.com/citation-style-language/schema/raw/master/csl-citation.json"}</w:instrText>
      </w:r>
      <w:r>
        <w:rPr/>
        <w:fldChar w:fldCharType="separate"/>
      </w:r>
      <w:bookmarkStart w:id="2" w:name="__Fieldmark__21_3510515060"/>
      <w:r>
        <w:rPr>
          <w:lang w:val="en-US"/>
        </w:rPr>
      </w:r>
      <w:r>
        <w:rPr>
          <w:rFonts w:cs="Calibri"/>
          <w:szCs w:val="24"/>
          <w:vertAlign w:val="superscript"/>
          <w:lang w:val="en-US"/>
        </w:rPr>
        <w:t>8–10</w:t>
      </w:r>
      <w:r>
        <w:rPr>
          <w:lang w:val="en-US"/>
        </w:rPr>
      </w:r>
      <w:r>
        <w:rPr/>
        <w:fldChar w:fldCharType="end"/>
      </w:r>
      <w:bookmarkEnd w:id="2"/>
      <w:r>
        <w:rPr>
          <w:lang w:val="en-US"/>
        </w:rPr>
        <w:t xml:space="preserve"> Computational high-throughput screening</w:t>
      </w:r>
      <w:r>
        <w:fldChar w:fldCharType="begin"/>
      </w:r>
      <w:r>
        <w:rPr/>
        <w:instrText>ADDIN ZOTERO_ITEM CSL_CITATION {"citationID":"AxxTzXoW","properties":{"formattedCitation":"\\super 11\\uc0\\u8211{}18\\nosupersub{}","plainCitation":"11–18","noteIndex":0},"citationItems":[{"id":851,"uris":["http://zotero.org/users/4258242/items/XITPBEJD"],"uri":["http://zotero.org/users/4258242/items/XITPBEJD"],"itemData":{"id":851,"type":"article-journal","title":"The Harvard Clean Energy Project: Large-Scale Computational Screening and Design of Organic Photovoltaics on the World Community Grid","container-title":"The Journal of Physical Chemistry Letters","page":"2241-2251","volume":"2","issue":"17","source":"ACS Publications","abstract":"This Perspective introduces the Harvard Clean Energy Project (CEP), a theory-driven search for the next generation of organic solar cell materials. We give a broad overview of its setup and infrastructure, present first results, and outline upcoming developments. CEP has established an automated, high-throughput, in silico framework to study potential candidate structures for organic photovoltaics. The current project phase is concerned with the characterization of millions of molecular motifs using first-principles quantum chemistry. The scale of this study requires a correspondingly large computational resource, which is provided by distributed volunteer computing on IBM’s World Community Grid. The results are compiled and analyzed in a reference database and will be made available for public use. In addition to finding specific candidates with certain properties, it is the goal of CEP to illuminate and understand the structure–property relations in the domain of organic electronics. Such insights can open the door to a rational and systematic design of future high-performance materials. The computational work in CEP is tightly embedded in a collaboration with experimentalists, who provide valuable input and feedback to the project.","DOI":"10.1021/jz200866s","ISSN":"1948-7185","note":"bibtex:hachmann2011","shortTitle":"The Harvard Clean Energy Project","journalAbbreviation":"J. Phys. Chem. Lett.","author":[{"family":"Hachmann","given":"Johannes"},{"family":"Olivares-Amaya","given":"Roberto"},{"family":"Atahan-Evrenk","given":"Sule"},{"family":"Amador-Bedolla","given":"Carlos"},{"family":"Sánchez-Carrera","given":"Roel S."},{"family":"Gold-Parker","given":"Aryeh"},{"family":"Vogt","given":"Leslie"},{"family":"Brockway","given":"Anna M."},{"family":"Aspuru-Guzik","given":"Alán"}],"issued":{"date-parts":[["2011",9,1]]}}},{"id":850,"uris":["http://zotero.org/users/4258242/items/QDLCPJWJ"],"uri":["http://zotero.org/users/4258242/items/QDLCPJWJ"],"itemData":{"id":850,"type":"article-journal","title":"A high-throughput infrastructure for density functional theory calculations","container-title":"Computational Materials Science","page":"2295-2310","volume":"50","issue":"8","source":"ScienceDirect","abstract":"The use of high-throughput density functional theory (DFT) calculations to screen for new materials and conduct fundamental research presents an exciting opportunity for materials science and materials innovation. High-throughput DFT typically involves computations on hundreds, thousands, or tens of thousands of compounds, and such a change of scale requires new calculation and data management methodologies. In this article, we describe aspects of the necessary data infrastructure for such projects to handle data generation and data analysis in a scalable way. We discuss the problem of accurately computing properties of compounds across diverse chemical spaces with a single exchange correlation functional, and demonstrate that errors in the generalized gradient approximation are highly dependent on chemical environment.","DOI":"10.1016/j.commatsci.2011.02.023","ISSN":"0927-0256","note":"bibtex:jain2011","journalAbbreviation":"Computational Materials Science","author":[{"family":"Jain","given":"Anubhav"},{"family":"Hautier","given":"Geoffroy"},{"family":"Moore","given":"Charles J."},{"family":"Ping Ong","given":"Shyue"},{"family":"Fischer","given":"Christopher C."},{"family":"Mueller","given":"Tim"},{"family":"Persson","given":"Kristin A."},{"family":"Ceder","given":"Gerbrand"}],"issued":{"date-parts":[["2011",6,1]]}}},{"id":849,"uris":["http://zotero.org/users/4258242/items/HUJTGTXP"],"uri":["http://zotero.org/users/4258242/items/HUJTGTXP"],"itemData":{"id":849,"type":"article-journal","title":"Finding Nature’s Missing Ternary Oxide Compounds Using Machine Learning and Density Functional Theory","container-title":"Chemistry of Materials","page":"3762-3767","volume":"22","issue":"12","source":"ACS Publications","abstract":"Finding new compounds and their crystal structures is an essential step to new materials discoveries. We demonstrate how this search can be accelerated using a combination of machine learning techniques and high-throughput ab initio computations. Using a probabilistic model built on an experimental crystal structure database, novel compositions that are most likely to form a compound, and their most-probable crystal structures, are identified and tested for stability by ab initio computations. We performed such a large-scale search for new ternary oxides, discovering 209 new compounds with a limited computational budget. A list of these predicted compounds is provided, and we discuss the chemistries in which high discovery rates can be expected.","DOI":"10.1021/cm100795d","ISSN":"0897-4756","note":"bibtex:hautier2010","journalAbbreviation":"Chem. Mater.","author":[{"family":"Hautier","given":"Geoffroy"},{"family":"Fischer","given":"Christopher C."},{"family":"Jain","given":"Anubhav"},{"family":"Mueller","given":"Tim"},{"family":"Ceder","given":"Gerbrand"}],"issued":{"date-parts":[["2010",6,22]]}}},{"id":848,"uris":["http://zotero.org/users/4258242/items/WYPJMEPZ"],"uri":["http://zotero.org/users/4258242/items/WYPJMEPZ"],"itemData":{"id":848,"type":"article-journal","title":"Accelerated DFT-Based Design of Materials for Ammonia Storage","container-title":"Chemistry of Materials","page":"4552-4561","volume":"27","issue":"13","source":"ACS Publications","abstract":"Future energy carriers are needed in order to lower the CO2 emissions resulting from the burning of fossil fuels. One possible energy carrier is ammonia, which can be stored safely and reversibly in metal halide ammines; however, the release often occurs in multiple steps at too high temperatures. Therefore, there is a need for new materials, releasing the ammonia in a narrow temperature interval. To search for new mixed metal halide chlorides, we use DFT calculations guided by a genetic algorithm (GA) to expedite the search, as the defined search space allowing up to three different metals contains more than 100,000 different structures. Here, we search for materials releasing the ammonia between 0 and 100 °C, a temperature range suitable for system integration with low-temperature polymer electrolyte membrane fuel cells (PEMFC). The efficiency of the implemented algorithm is verified by three trial runs capable of finding the same optimal mixtures starting from different random populations, testing &lt;5% of the candidates. Some of the best candidates are already confirmed experimentally, and others offer a record high, accessible hydrogen capacity exceeding 9 wt %. Among the identified materials is the first known high-capacity ternary metal halide ammine, which we have subsequently synthesized and confirmed the ammonia storage properties using temperature-programmed desorption (TPD).","DOI":"10.1021/acs.chemmater.5b00446","ISSN":"0897-4756","note":"bibtex:jensen2015","journalAbbreviation":"Chem. Mater.","author":[{"family":"Jensen","given":"Peter B."},{"family":"Bialy","given":"Agata"},{"family":"Blanchard","given":"Didier"},{"family":"Lysgaard","given":"Steen"},{"family":"Reumert","given":"Alexander K."},{"family":"Quaade","given":"Ulrich J."},{"family":"Vegge","given":"Tejs"}],"issued":{"date-parts":[["2015",7,14]]}}},{"id":847,"uris":["http://zotero.org/users/4258242/items/UUTK2GIQ"],"uri":["http://zotero.org/users/4258242/items/UUTK2GIQ"],"itemData":{"id":847,"type":"article-journal","title":"Towards the computational design of solid catalysts","container-title":"Nature Chemistry","page":"37-46","volume":"1","issue":"1","source":"www.nature.com","abstract":"Over the past decade the theoretical description of surface reactions has undergone a radical development. Advances in density functional theory mean it is now possible to describe catalytic reactions at surfaces with the detail and accuracy required for computational results to compare favourably with experiments. Theoretical methods can be used to describe surface chemical reactions in detail and to understand variations in catalytic activity from one catalyst to another. Here, we review the first steps towards using computational methods to design new catalysts. Examples include screening for catalysts with increased activity and catalysts with improved selectivity. We discuss how, in the future, such methods may be used to engineer the electronic structure of the active surface by changing its composition and structure.","DOI":"10.1038/nchem.121","ISSN":"1755-4349","note":"bibtex:norskov2009","language":"en","author":[{"family":"Nørskov","given":"J. K."},{"family":"Bligaard","given":"T."},{"family":"Rossmeisl","given":"J."},{"family":"Christensen","given":"C. H."}],"issued":{"date-parts":[["2009",4]]}}},{"id":846,"uris":["http://zotero.org/users/4258242/items/YFVZDN48"],"uri":["http://zotero.org/users/4258242/items/YFVZDN48"],"itemData":{"id":846,"type":"article-journal","title":"Computational high-throughput screening of electrocatalytic materials for hydrogen evolution","container-title":"Nature Materials","page":"909-913","volume":"5","issue":"11","source":"www.nature.com","abstract":"The pace of materials discovery for heterogeneous catalysts and electrocatalysts could, in principle, be accelerated by the development of efficient computational screening methods. This would require an integrated approach, where the catalytic activity and stability of new materials are evaluated and where predictions are benchmarked by careful synthesis and experimental tests. In this contribution, we present a density functional theory-based, high-throughput screening scheme that successfully uses these strategies to identify a new electrocatalyst for the hydrogen evolution reaction (HER). The activity of over 700 binary surface alloys is evaluated theoretically; the stability of each alloy in electrochemical environments is also estimated. BiPt is found to have a predicted activity comparable to, or even better than, pure Pt, the archetypical HER catalyst. This alloy is synthesized and tested experimentally and shows improved HER performance compared with pure Pt, in agreement with the computational screening results.","DOI":"10.1038/nmat1752","ISSN":"1476-4660","note":"bibtex:greeley2006","language":"en","author":[{"family":"Greeley","given":"Jeff"},{"family":"Jaramillo","given":"Thomas F."},{"family":"Bonde","given":"Jacob"},{"family":"Chorkendorff","given":"Ib"},{"family":"Nørskov","given":"Jens K."}],"issued":{"date-parts":[["2006",11]]}}},{"id":845,"uris":["http://zotero.org/users/4258242/items/K3G8IF3G"],"uri":["http://zotero.org/users/4258242/items/K3G8IF3G"],"itemData":{"id":845,"type":"article-journal","title":"The high-throughput highway to computational materials design","container-title":"Nature Materials","page":"191-201","volume":"12","issue":"3","source":"www.nature.com","abstract":"High-throughput computational materials design is an emerging area of materials science. By combining advanced thermodynamic and electronic-structure methods with intelligent data mining and database construction, and exploiting the power of current supercomputer architectures, scientists generate, manage and analyse enormous data repositories for the discovery of novel materials. In this Review we provide a current snapshot of this rapidly evolving field, and highlight the challenges and opportunities that lie ahead.","DOI":"10.1038/nmat3568","ISSN":"1476-4660","note":"bibtex:curtarolo2013","language":"en","author":[{"family":"Curtarolo","given":"Stefano"},{"family":"Hart","given":"Gus L. W."},{"family":"Nardelli","given":"Marco Buongiorno"},{"family":"Mingo","given":"Natalio"},{"family":"Sanvito","given":"Stefano"},{"family":"Levy","given":"Ohad"}],"issued":{"date-parts":[["2013",3]]}}},{"id":844,"uris":["http://zotero.org/users/4258242/items/LRK4CQSH"],"uri":["http://zotero.org/users/4258242/items/LRK4CQSH"],"itemData":{"id":844,"type":"article-journal","title":"Combinatorial Materials Sciences: Experimental Strategies for Accelerated Knowledge Discovery","container-title":"Annual Review of Materials Research","page":"299-322","volume":"38","issue":"1","source":"annualreviews.org (Atypon)","abstract":"Combinatorial materials science offers an exciting experimental strategy for rapidly surveying a wide array of materials chemistries and process variables coupled to the screening of structure and properties. Adapting approaches used in synthetic organic chemistry for applications such as pharmaceutical sciences and chemical discovery, materials scientists have developed a variety of approaches to create libraries in the solid state in order to rapidly examine a broad range of materials characteristics; the ultimate hope is to accelerate the discovery of new materials and/or new materials properties. This article provides an overview of the different experimental strategies used in combinatorial experimentation and high-throughput screening in materials science and engineering and the challenges to analyzing the information obtained from such experiments. Particular focus is placed on the use of informatics to convert the data from high-throughput experimentation to high-throughput knowledge discovery. The review also raises the broader issue of future needs in combinatorial materials science, such as making this area an experimental platform for multiscale modeling, and the need for a stronger materials-theory-driven approach to combinatorial experimentation.","DOI":"10.1146/annurev.matsci.38.060407.130217","ISSN":"1531-7331","note":"bibtex:rajan2008","shortTitle":"Combinatorial Materials Sciences","journalAbbreviation":"Annu. Rev. Mater. Res.","author":[{"family":"Rajan","given":"Krishna"}],"issued":{"date-parts":[["2008",7,8]]}}}],"schema":"https://github.com/citation-style-language/schema/raw/master/csl-citation.json"}</w:instrText>
      </w:r>
      <w:r>
        <w:rPr/>
        <w:fldChar w:fldCharType="separate"/>
      </w:r>
      <w:bookmarkStart w:id="3" w:name="__Fieldmark__27_3510515060"/>
      <w:r>
        <w:rPr>
          <w:lang w:val="en-US"/>
        </w:rPr>
      </w:r>
      <w:r>
        <w:rPr>
          <w:rFonts w:cs="Calibri"/>
          <w:szCs w:val="24"/>
          <w:vertAlign w:val="superscript"/>
          <w:lang w:val="en-US"/>
        </w:rPr>
        <w:t>11–18</w:t>
      </w:r>
      <w:r>
        <w:rPr>
          <w:lang w:val="en-US"/>
        </w:rPr>
      </w:r>
      <w:r>
        <w:rPr/>
        <w:fldChar w:fldCharType="end"/>
      </w:r>
      <w:bookmarkEnd w:id="3"/>
      <w:r>
        <w:rPr>
          <w:lang w:val="en-US"/>
        </w:rPr>
        <w:t xml:space="preserve"> is a potential remedy but severly constraint by computational cost.</w:t>
      </w:r>
      <w:r>
        <w:fldChar w:fldCharType="begin"/>
      </w:r>
      <w:r>
        <w:rPr/>
        <w:instrText>ADDIN ZOTERO_ITEM CSL_CITATION {"citationID":"6lwIphsP","properties":{"formattedCitation":"\\super 19\\nosupersub{}","plainCitation":"19","noteIndex":0},"citationItems":[{"id":852,"uris":["http://zotero.org/users/4258242/items/ZBGCR3GY"],"uri":["http://zotero.org/users/4258242/items/ZBGCR3GY"],"itemData":{"id":852,"type":"webpage","title":"Chemical space","container-title":"Nature","genre":"Special Features","abstract":"Chemical space","URL":"https://www.nature.com/articles/432823a","note":"DOI: 10.1038/432823a","language":"en","author":[{"family":"Kirkpatrick","given":"Peter"},{"family":"Ellis","given":"Clare"}],"issued":{"date-parts":[["2004",12,15]]},"accessed":{"date-parts":[["2018",6,17]]}}}],"schema":"https://github.com/citation-style-language/schema/raw/master/csl-citation.json"}</w:instrText>
      </w:r>
      <w:r>
        <w:rPr/>
        <w:fldChar w:fldCharType="separate"/>
      </w:r>
      <w:bookmarkStart w:id="4" w:name="__Fieldmark__34_3510515060"/>
      <w:r>
        <w:rPr>
          <w:lang w:val="en-US"/>
        </w:rPr>
      </w:r>
      <w:r>
        <w:rPr>
          <w:rFonts w:cs="Calibri"/>
          <w:szCs w:val="24"/>
          <w:vertAlign w:val="superscript"/>
          <w:lang w:val="en-US"/>
        </w:rPr>
        <w:t>19</w:t>
      </w:r>
      <w:r>
        <w:rPr>
          <w:lang w:val="en-US"/>
        </w:rPr>
      </w:r>
      <w:r>
        <w:rPr/>
        <w:fldChar w:fldCharType="end"/>
      </w:r>
      <w:bookmarkEnd w:id="4"/>
      <w:r>
        <w:rPr>
          <w:lang w:val="en-US"/>
        </w:rPr>
        <w:t xml:space="preserve"> Enumeration projects of computationally generated molecules have attempted to either exhaust or systematically cover</w:t>
      </w:r>
      <w:r>
        <w:fldChar w:fldCharType="begin"/>
      </w:r>
      <w:r>
        <w:rPr/>
        <w:instrText>ADDIN ZOTERO_ITEM CSL_CITATION {"citationID":"NC28gKt1","properties":{"formattedCitation":"\\super 20\\nosupersub{}","plainCitation":"20","noteIndex":0},"citationItems":[{"id":863,"uris":["http://zotero.org/users/4258242/items/2M4WY9IC"],"uri":["http://zotero.org/users/4258242/items/2M4WY9IC"],"itemData":{"id":863,"type":"article-journal","title":"Stochastic Voyages into Uncharted Chemical Space Produce a Representative Library of All Possible Drug-Like Compounds","container-title":"Journal of the American Chemical Society","page":"7296-7303","volume":"135","issue":"19","source":"ACS Publications","abstract":"The “small molecule universe” (SMU), the set of all synthetically feasible organic molecules of 500 Da molecular weight or less, is estimated to contain over 1060 structures, making exhaustive searches for structures of interest impractical. Here, we describe the construction of a “representative universal library” spanning the SMU that samples the full extent of feasible small molecule chemistries. This library was generated using the newly developed Algorithm for Chemical Space Exploration with Stochastic Search (ACSESS). ACSESS makes two important contributions to chemical space exploration: it allows the systematic search of the unexplored regions of the small molecule universe, and it facilitates the mining of chemical libraries that do not yet exist, providing a near-infinite source of diverse novel compounds.","DOI":"10.1021/ja401184g","ISSN":"0002-7863","note":"bibtex: virshup2013","journalAbbreviation":"J. Am. Chem. Soc.","author":[{"family":"Virshup","given":"Aaron M."},{"family":"Contreras-García","given":"Julia"},{"family":"Wipf","given":"Peter"},{"family":"Yang","given":"Weitao"},{"family":"Beratan","given":"David N."}],"issued":{"date-parts":[["2013",5,15]]}},"locator":"2013"}],"schema":"https://github.com/citation-style-language/schema/raw/master/csl-citation.json"}</w:instrText>
      </w:r>
      <w:r>
        <w:rPr/>
        <w:fldChar w:fldCharType="separate"/>
      </w:r>
      <w:bookmarkStart w:id="5" w:name="__Fieldmark__39_3510515060"/>
      <w:r>
        <w:rPr>
          <w:lang w:val="en-US"/>
        </w:rPr>
      </w:r>
      <w:r>
        <w:rPr>
          <w:rFonts w:cs="Calibri"/>
          <w:szCs w:val="24"/>
          <w:vertAlign w:val="superscript"/>
          <w:lang w:val="en-US"/>
        </w:rPr>
        <w:t>20</w:t>
      </w:r>
      <w:r>
        <w:rPr>
          <w:lang w:val="en-US"/>
        </w:rPr>
      </w:r>
      <w:r>
        <w:rPr/>
        <w:fldChar w:fldCharType="end"/>
      </w:r>
      <w:bookmarkEnd w:id="5"/>
      <w:r>
        <w:rPr>
          <w:lang w:val="en-US"/>
        </w:rPr>
        <w:t xml:space="preserve"> large subspaces. Most prominently, the GDB-17 dataset</w:t>
      </w:r>
      <w:r>
        <w:fldChar w:fldCharType="begin"/>
      </w:r>
      <w:r>
        <w:rPr/>
        <w:instrText>ADDIN ZOTERO_ITEM CSL_CITATION {"citationID":"yb9kYsfT","properties":{"formattedCitation":"\\super 21\\nosupersub{}","plainCitation":"21","noteIndex":0},"citationItems":[{"id":587,"uris":["http://zotero.org/users/4258242/items/ALTYUB3B"],"uri":["http://zotero.org/users/4258242/items/ALTYUB3B"],"itemData":{"id":587,"type":"article-journal","title":"Enumeration of 166 Billion Organic Small Molecules in the Chemical Universe Database GDB-17","container-title":"Journal of Chemical Information and Modeling","page":"2864-2875","volume":"52","issue":"11","source":"ACS Publications","abstract":"Drug molecules consist of a few tens of atoms connected by covalent bonds. How many such molecules are possible in total and what is their structure? This question is of pressing interest in medicinal chemistry to help solve the problems of drug potency, selectivity, and toxicity and reduce attrition rates by pointing to new molecular series. To better define the unknown chemical space, we have enumerated 166.4 billion molecules of up to 17 atoms of C, N, O, S, and halogens forming the chemical universe database GDB-17, covering a size range containing many drugs and typical for lead compounds. GDB-17 contains millions of isomers of known drugs, including analogs with high shape similarity to the parent drug. Compared to known molecules in PubChem, GDB-17 molecules are much richer in nonaromatic heterocycles, quaternary centers, and stereoisomers, densely populate the third dimension in shape space, and represent many more scaffold types.","DOI":"10.1021/ci300415d","ISSN":"1549-9596","note":"bibtex:ruddigkeit2012","journalAbbreviation":"J. Chem. Inf. Model.","author":[{"family":"Ruddigkeit","given":"Lars"},{"family":"Deursen","given":"Ruud","non-dropping-particle":"van"},{"family":"Blum","given":"Lorenz C."},{"family":"Reymond","given":"Jean-Louis"}],"issued":{"date-parts":[["2012",11,26]]}}}],"schema":"https://github.com/citation-style-language/schema/raw/master/csl-citation.json"}</w:instrText>
      </w:r>
      <w:r>
        <w:rPr/>
        <w:fldChar w:fldCharType="separate"/>
      </w:r>
      <w:bookmarkStart w:id="6" w:name="__Fieldmark__44_3510515060"/>
      <w:r>
        <w:rPr>
          <w:lang w:val="en-US"/>
        </w:rPr>
      </w:r>
      <w:r>
        <w:rPr>
          <w:rFonts w:cs="Calibri"/>
          <w:szCs w:val="24"/>
          <w:vertAlign w:val="superscript"/>
          <w:lang w:val="en-US"/>
        </w:rPr>
        <w:t>21</w:t>
      </w:r>
      <w:r>
        <w:rPr>
          <w:lang w:val="en-US"/>
        </w:rPr>
      </w:r>
      <w:r>
        <w:rPr/>
        <w:fldChar w:fldCharType="end"/>
      </w:r>
      <w:bookmarkEnd w:id="6"/>
      <w:r>
        <w:rPr>
          <w:lang w:val="en-US"/>
        </w:rPr>
        <w:t xml:space="preserve"> tries to enumerate all possible organic scaffold based structures of up to 17 atoms of C, N, O, S, and halogens. This results in approximately 166 billion organic small molecules, exhibiting more diversity than other data sets and lead to new discoveries.</w:t>
      </w:r>
      <w:r>
        <w:fldChar w:fldCharType="begin"/>
      </w:r>
      <w:r>
        <w:rPr/>
        <w:instrText>ADDIN ZOTERO_ITEM CSL_CITATION {"citationID":"j2VQVCqM","properties":{"formattedCitation":"\\super 22\\nosupersub{}","plainCitation":"22","noteIndex":0},"citationItems":[{"id":860,"uris":["http://zotero.org/users/4258242/items/4TUN4HJW"],"uri":["http://zotero.org/users/4258242/items/4TUN4HJW"],"itemData":{"id":860,"type":"article-journal","title":"Stochastic Algorithms for Maximizing Molecular Diversity","container-title":"Journal of Chemical Information and Computer Sciences","page":"841-851","volume":"37","issue":"5","source":"ACS Publications","abstract":"A common problem in the emerging field of combinatorial drug design is the selection of an appropriate subset of compounds for chemical synthesis and biological evaluation. In this paper, we introduce a new family of selection algorithms that combine a stochastic search engine with a user-defined objective function that encodes any desirable selection criterion. The method is applied to the problem of maximizing molecular diversity, and the results are visualized using Sammon's nonlinear mapping algorithm. By separating the search method from the performance metric, the method can be easily extended to perform complex multi-objective selections in advanced decision-support systems.","DOI":"10.1021/ci9700337","ISSN":"0095-2338","note":"bibtex:agrafiotis1997","journalAbbreviation":"J. Chem. Inf. Comput. Sci.","author":[{"family":"Agrafiotis","given":"Dimitris K."}],"issued":{"date-parts":[["1997",9,1]]}}}],"schema":"https://github.com/citation-style-language/schema/raw/master/csl-citation.json"}</w:instrText>
      </w:r>
      <w:r>
        <w:rPr/>
        <w:fldChar w:fldCharType="separate"/>
      </w:r>
      <w:bookmarkStart w:id="7" w:name="__Fieldmark__49_3510515060"/>
      <w:r>
        <w:rPr>
          <w:lang w:val="en-US"/>
        </w:rPr>
      </w:r>
      <w:r>
        <w:rPr>
          <w:rFonts w:cs="Calibri"/>
          <w:szCs w:val="24"/>
          <w:vertAlign w:val="superscript"/>
          <w:lang w:val="en-US"/>
        </w:rPr>
        <w:t>22</w:t>
      </w:r>
      <w:r>
        <w:rPr>
          <w:lang w:val="en-US"/>
        </w:rPr>
      </w:r>
      <w:r>
        <w:rPr/>
        <w:fldChar w:fldCharType="end"/>
      </w:r>
      <w:bookmarkEnd w:id="7"/>
      <w:r>
        <w:rPr>
          <w:lang w:val="en-US"/>
        </w:rPr>
        <w:t xml:space="preserve"> Instead of going through all possibilities of structures, Virshup </w:t>
      </w:r>
      <w:r>
        <w:rPr>
          <w:i/>
          <w:lang w:val="en-US"/>
        </w:rPr>
        <w:t>et al.</w:t>
      </w:r>
      <w:r>
        <w:fldChar w:fldCharType="begin"/>
      </w:r>
      <w:r>
        <w:rPr>
          <w:i/>
        </w:rPr>
        <w:instrText>ADDIN ZOTERO_ITEM CSL_CITATION {"citationID":"tgqztg8p","properties":{"formattedCitation":"\\super 20\\nosupersub{}","plainCitation":"20","noteIndex":0},"citationItems":[{"id":863,"uris":["http://zotero.org/users/4258242/items/2M4WY9IC"],"uri":["http://zotero.org/users/4258242/items/2M4WY9IC"],"itemData":{"id":863,"type":"article-journal","title":"Stochastic Voyages into Uncharted Chemical Space Produce a Representative Library of All Possible Drug-Like Compounds","container-title":"Journal of the American Chemical Society","page":"7296-7303","volume":"135","issue":"19","source":"ACS Publications","abstract":"The “small molecule universe” (SMU), the set of all synthetically feasible organic molecules of 500 Da molecular weight or less, is estimated to contain over 1060 structures, making exhaustive searches for structures of interest impractical. Here, we describe the construction of a “representative universal library” spanning the SMU that samples the full extent of feasible small molecule chemistries. This library was generated using the newly developed Algorithm for Chemical Space Exploration with Stochastic Search (ACSESS). ACSESS makes two important contributions to chemical space exploration: it allows the systematic search of the unexplored regions of the small molecule universe, and it facilitates the mining of chemical libraries that do not yet exist, providing a near-infinite source of diverse novel compounds.","DOI":"10.1021/ja401184g","ISSN":"0002-7863","note":"bibtex: virshup2013","journalAbbreviation":"J. Am. Chem. Soc.","author":[{"family":"Virshup","given":"Aaron M."},{"family":"Contreras-García","given":"Julia"},{"family":"Wipf","given":"Peter"},{"family":"Yang","given":"Weitao"},{"family":"Beratan","given":"David N."}],"issued":{"date-parts":[["2013",5,15]]}},"locator":"2013"}],"schema":"https://github.com/citation-style-language/schema/raw/master/csl-citation.json"}</w:instrText>
      </w:r>
      <w:r>
        <w:rPr>
          <w:i/>
        </w:rPr>
        <w:fldChar w:fldCharType="separate"/>
      </w:r>
      <w:bookmarkStart w:id="8" w:name="__Fieldmark__57_3510515060"/>
      <w:r>
        <w:rPr>
          <w:i/>
          <w:lang w:val="en-US"/>
        </w:rPr>
      </w:r>
      <w:r>
        <w:rPr>
          <w:rFonts w:cs="Calibri"/>
          <w:i/>
          <w:szCs w:val="24"/>
          <w:vertAlign w:val="superscript"/>
          <w:lang w:val="en-US"/>
        </w:rPr>
        <w:t>20</w:t>
      </w:r>
      <w:r>
        <w:rPr>
          <w:i/>
          <w:lang w:val="en-US"/>
        </w:rPr>
      </w:r>
      <w:r>
        <w:rPr>
          <w:i/>
        </w:rPr>
        <w:fldChar w:fldCharType="end"/>
      </w:r>
      <w:bookmarkEnd w:id="8"/>
      <w:r>
        <w:rPr>
          <w:lang w:val="en-US"/>
        </w:rPr>
        <w:t xml:space="preserve"> introduced an algorithm to stochastically sample the chemical space for a so-called representative sublibrary, which is defined as representative subspace with a smaller amount of molecules than the parent space without losing it's diversity.</w:t>
      </w:r>
    </w:p>
    <w:p>
      <w:pPr>
        <w:pStyle w:val="Normal"/>
        <w:spacing w:lineRule="auto" w:line="480"/>
        <w:jc w:val="both"/>
        <w:rPr/>
      </w:pPr>
      <w:r>
        <w:rPr>
          <w:lang w:val="en-US"/>
        </w:rPr>
        <w:t>TMCs form promising functional inorganic materials due to their wide range of tunable electronic properties. They are crucial for contemporary challenges, such as spincrossover complexes,</w:t>
      </w:r>
      <w:r>
        <w:fldChar w:fldCharType="begin"/>
      </w:r>
      <w:r>
        <w:rPr/>
        <w:instrText>ADDIN ZOTERO_ITEM CSL_CITATION {"citationID":"XflylmWY","properties":{"formattedCitation":"\\super 15,23,24\\nosupersub{}","plainCitation":"15,23,24","noteIndex":0},"citationItems":[{"id":847,"uris":["http://zotero.org/users/4258242/items/UUTK2GIQ"],"uri":["http://zotero.org/users/4258242/items/UUTK2GIQ"],"itemData":{"id":847,"type":"article-journal","title":"Towards the computational design of solid catalysts","container-title":"Nature Chemistry","page":"37-46","volume":"1","issue":"1","source":"www.nature.com","abstract":"Over the past decade the theoretical description of surface reactions has undergone a radical development. Advances in density functional theory mean it is now possible to describe catalytic reactions at surfaces with the detail and accuracy required for computational results to compare favourably with experiments. Theoretical methods can be used to describe surface chemical reactions in detail and to understand variations in catalytic activity from one catalyst to another. Here, we review the first steps towards using computational methods to design new catalysts. Examples include screening for catalysts with increased activity and catalysts with improved selectivity. We discuss how, in the future, such methods may be used to engineer the electronic structure of the active surface by changing its composition and structure.","DOI":"10.1038/nchem.121","ISSN":"1755-4349","note":"bibtex:norskov2009","language":"en","author":[{"family":"Nørskov","given":"J. K."},{"family":"Bligaard","given":"T."},{"family":"Rossmeisl","given":"J."},{"family":"Christensen","given":"C. H."}],"issued":{"date-parts":[["2009",4]]}}},{"id":859,"uris":["http://zotero.org/users/4258242/items/948GLEHW"],"uri":["http://zotero.org/users/4258242/items/948GLEHW"],"itemData":{"id":859,"type":"article-journal","title":"Structure:function relationships in molecular spin-crossover complexes","container-title":"Chemical Society Reviews","page":"4119-4142","volume":"40","issue":"7","source":"pubs.rsc.org","abstract":"Spin-crossover compounds are becoming increasingly popular for device and sensor applications, and in soft materials, that make use of their switchable colour, paramagnetism and conductivity. The de novo design of new solid spin-crossover compounds with pre-defined switching properties is desirable for application purposes. This challenging problem of crystal engineering requires an understanding of how the temperature and cooperativity of a spin-transition are influenced by the structure of the bulk material. Towards that end, this critical review presents a survey of molecular spin-crossover compounds with good availability of crystallographic data. A picture is emerging that changes in molecular shape between the high- and low-spin states, and the ability of a lattice to accommodate such changes, can play an important role in determining the existence and the cooperativity of a thermal spin-transition in the solid state (198 references).","DOI":"10.1039/C1CS15046D","ISSN":"1460-4744","note":"bibtex:halcrow2011","shortTitle":"Structure","journalAbbreviation":"Chem. Soc. Rev.","language":"en","author":[{"family":"Halcrow","given":"Malcolm A."}],"issued":{"date-parts":[["2011",6,20]]}}},{"id":858,"uris":["http://zotero.org/users/4258242/items/MWYR83HZ"],"uri":["http://zotero.org/users/4258242/items/MWYR83HZ"],"itemData":{"id":858,"type":"chapter","title":"Towards Spin Crossover Applications","container-title":"Spin Crossover in Transition Metal Compounds III","collection-title":"Topics in Current Chemistry","publisher":"Springer, Berlin, Heidelberg","page":"221-249","source":"link.springer.com","abstract":"In this chapter we attempt to review the potential for the application of the spin crossover (SCO) phenomenon in various domains, such as molecular electronics, data storage, display devices. It is evident that SCO properties, such as room-temperature working range, chemical stability, low addressing power, short addressing time, full reversibility, are of promising value in the context of the stringent limits necessary in the future development of information technology, due to the unceasing miniaturization of the components. Of course, many requirements must be fulfilled before any use in a genuine device becomes feasible. Some of these are emphasized and discussed here. Additionally, this review reports recent progress in non-linear optics and photomagnetism of SCO materials.Open image in new window","URL":"https://link.springer.com/chapter/10.1007/b95429","ISBN":"978-3-540-40395-1","note":"bibtex:letard2004","language":"en","author":[{"family":"Létard","given":"Jean-François"},{"family":"Guionneau","given":"Philippe"},{"family":"Goux-Capes","given":"Laurence"}],"issued":{"date-parts":[["2004"]]},"accessed":{"date-parts":[["2018",6,14]]}}}],"schema":"https://github.com/citation-style-language/schema/raw/master/csl-citation.json"}</w:instrText>
      </w:r>
      <w:r>
        <w:rPr/>
        <w:fldChar w:fldCharType="separate"/>
      </w:r>
      <w:bookmarkStart w:id="9" w:name="__Fieldmark__70_3510515060"/>
      <w:r>
        <w:rPr>
          <w:lang w:val="en-US"/>
        </w:rPr>
      </w:r>
      <w:r>
        <w:rPr>
          <w:rFonts w:cs="Calibri"/>
          <w:szCs w:val="24"/>
          <w:vertAlign w:val="superscript"/>
          <w:lang w:val="en-US"/>
        </w:rPr>
        <w:t>15,23,24</w:t>
      </w:r>
      <w:r>
        <w:rPr>
          <w:lang w:val="en-US"/>
        </w:rPr>
      </w:r>
      <w:r>
        <w:rPr/>
        <w:fldChar w:fldCharType="end"/>
      </w:r>
      <w:bookmarkEnd w:id="9"/>
      <w:r>
        <w:rPr>
          <w:lang w:val="en-US"/>
        </w:rPr>
        <w:t xml:space="preserve"> dye-sensitizers in solar cells,</w:t>
      </w:r>
      <w:r>
        <w:fldChar w:fldCharType="begin"/>
      </w:r>
      <w:r>
        <w:rPr/>
        <w:instrText>ADDIN ZOTERO_ITEM CSL_CITATION {"citationID":"we5wh0IC","properties":{"formattedCitation":"\\super 25\\nosupersub{}","plainCitation":"25","noteIndex":0},"citationItems":[{"id":856,"uris":["http://zotero.org/users/4258242/items/CJS2ALR2"],"uri":["http://zotero.org/users/4258242/items/CJS2ALR2"],"itemData":{"id":856,"type":"article-journal","title":"The role of transition metal complexes in dye sensitized solar devices","container-title":"Coordination Chemistry Reviews","collection-title":"Electron Transfer in Coordination Chemistry","page":"1472-1492","volume":"257","issue":"9","source":"ScienceDirect","abstract":"This article focuses on the progress obtained in the design of metal complexes which find application as sensitizers for dye-sensitized solar cells, DSSCs, and as electron shuttles in substitution of the triiodide/iodide redox couple. Coupling of sterically hindered dyes with mobile shuttles, based on a transition metal complex, represents the most advanced innovation which has allowed to reach on a single device the record efficiency of 12%. Issues which require further research are also discussed.","DOI":"10.1016/j.ccr.2012.09.008","ISSN":"0010-8545","note":"bibtex:bignozzi2013","journalAbbreviation":"Coordination Chemistry Reviews","author":[{"family":"Bignozzi","given":"C. A."},{"family":"Argazzi","given":"R."},{"family":"Boaretto","given":"R."},{"family":"Busatto","given":"E."},{"family":"Carli","given":"S."},{"family":"Ronconi","given":"F."},{"family":"Caramori","given":"S."}],"issued":{"date-parts":[["2013",5,1]]}}}],"schema":"https://github.com/citation-style-language/schema/raw/master/csl-citation.json"}</w:instrText>
      </w:r>
      <w:r>
        <w:rPr/>
        <w:fldChar w:fldCharType="separate"/>
      </w:r>
      <w:bookmarkStart w:id="10" w:name="__Fieldmark__76_3510515060"/>
      <w:r>
        <w:rPr>
          <w:lang w:val="en-US"/>
        </w:rPr>
      </w:r>
      <w:r>
        <w:rPr>
          <w:rFonts w:cs="Calibri"/>
          <w:szCs w:val="24"/>
          <w:vertAlign w:val="superscript"/>
          <w:lang w:val="en-US"/>
        </w:rPr>
        <w:t>25</w:t>
      </w:r>
      <w:r>
        <w:rPr>
          <w:lang w:val="en-US"/>
        </w:rPr>
      </w:r>
      <w:r>
        <w:rPr/>
        <w:fldChar w:fldCharType="end"/>
      </w:r>
      <w:bookmarkEnd w:id="10"/>
      <w:r>
        <w:rPr>
          <w:lang w:val="en-US"/>
        </w:rPr>
        <w:t xml:space="preserve"> or open-shell catalysts.</w:t>
      </w:r>
      <w:r>
        <w:fldChar w:fldCharType="begin"/>
      </w:r>
      <w:r>
        <w:rPr/>
        <w:instrText>ADDIN ZOTERO_ITEM CSL_CITATION {"citationID":"6sEXFcgG","properties":{"formattedCitation":"\\super 26\\nosupersub{}","plainCitation":"26","noteIndex":0},"citationItems":[{"id":855,"uris":["http://zotero.org/users/4258242/items/SATME7WA"],"uri":["http://zotero.org/users/4258242/items/SATME7WA"],"itemData":{"id":855,"type":"article-journal","title":"Understanding the reactivity of transition metal complexes involving multiple spin states","container-title":"Coordination Chemistry Reviews","collection-title":"Theoretical and Computational Chemistry","page":"347-361","volume":"238-239","source":"ScienceDirect","abstract":"In coordination chemistry, many reactions involve several electronic states, in particular states of different spin. This phenomenon of ‘Multiple-State Reactivity’ has been recognized for some time, both for gas-phase reactions of ‘bare’ metal ions, and for transition metal complexes in solution. Until recently, however, much of the discussion of these systems has remained qualitative, because standard computational methods do not allow the location of the critical points for these processes, the Minimum Energy Crossing Points (MECPs) between states of different spin. Increased computational resources and new algorithms now enable MECPs to be located for large, realistic transition metal containing systems, yielding important new insight into the mechanisms of important reactions such as oxidative addition of CH bonds to metal centers and ligand association/dissociation processes. Several examples will be presented for inorganic, organometallic and bioinorganic reactions.","DOI":"10.1016/S0010-8545(02)00283-7","ISSN":"0010-8545","note":"bibtex:harvey2003","journalAbbreviation":"Coordination Chemistry Reviews","author":[{"family":"Harvey","given":"Jeremy N"},{"family":"Poli","given":"Rinaldo"},{"family":"Smith","given":"Kevin M"}],"issued":{"date-parts":[["2003",3,1]]}}}],"schema":"https://github.com/citation-style-language/schema/raw/master/csl-citation.json"}</w:instrText>
      </w:r>
      <w:r>
        <w:rPr/>
        <w:fldChar w:fldCharType="separate"/>
      </w:r>
      <w:bookmarkStart w:id="11" w:name="__Fieldmark__81_3510515060"/>
      <w:r>
        <w:rPr>
          <w:lang w:val="en-US"/>
        </w:rPr>
      </w:r>
      <w:r>
        <w:rPr>
          <w:rFonts w:cs="Calibri"/>
          <w:szCs w:val="24"/>
          <w:vertAlign w:val="superscript"/>
          <w:lang w:val="en-US"/>
        </w:rPr>
        <w:t>26</w:t>
      </w:r>
      <w:r>
        <w:rPr>
          <w:lang w:val="en-US"/>
        </w:rPr>
      </w:r>
      <w:r>
        <w:rPr/>
        <w:fldChar w:fldCharType="end"/>
      </w:r>
      <w:bookmarkEnd w:id="11"/>
      <w:r>
        <w:rPr>
          <w:lang w:val="en-US"/>
        </w:rPr>
        <w:t xml:space="preserve"> Nonetheless, few benchmark data sets, experimental data bases or softwares are available. In this group's research program, we try to systematically explore the TMC space.  However, exhaustive enumeration and calculation of all possible ligand fields is as intractable as in organic chemistry. For this, the open-source software molSimplify was developed for the rapid structure generation in coordination chemistry. </w:t>
      </w:r>
    </w:p>
    <w:p>
      <w:pPr>
        <w:pStyle w:val="Heading1"/>
        <w:spacing w:lineRule="auto" w:line="480"/>
        <w:jc w:val="both"/>
        <w:rPr>
          <w:lang w:val="en-US"/>
        </w:rPr>
      </w:pPr>
      <w:r>
        <w:rPr>
          <w:lang w:val="en-US"/>
        </w:rPr>
        <w:t>The role of symmetry</w:t>
      </w:r>
    </w:p>
    <w:p>
      <w:pPr>
        <w:pStyle w:val="Normal"/>
        <w:spacing w:lineRule="auto" w:line="480"/>
        <w:jc w:val="both"/>
        <w:rPr>
          <w:lang w:val="en-US"/>
        </w:rPr>
      </w:pPr>
      <w:r>
        <w:rPr>
          <w:lang w:val="en-US"/>
        </w:rPr>
        <w:t>As in organic data sets, the size of the set scales with the number of atoms allowed, the number of elements included and other factors. In coordination chemistry, there are four basic components that increase the size of the TMC subspace under consideration: i) geometry, ii) metal center, iii) ligand, and iv) symmetry class. Most common geometries for TMCs are octahedral, tetrahedral, or trigonal bipyramidal. The metal centers can be chosen from the transition metals from the periodic table, whereas the ligand is usually an organic molecule. These three variables scale the space by a constant linear factor, e.g. the subspace composed of the metal centers chromium and manganese is twice the size of one only composed of chromium. Component iv), the symmetry class, is usually the bottleneck variable when looking at subspaces of reasonable size.</w:t>
      </w:r>
    </w:p>
    <w:p>
      <w:pPr>
        <w:pStyle w:val="Normal"/>
        <w:spacing w:lineRule="auto" w:line="480"/>
        <w:jc w:val="both"/>
        <w:rPr>
          <w:lang w:val="en-US"/>
        </w:rPr>
      </w:pPr>
      <w:r>
        <w:rPr>
          <w:lang w:val="en-US"/>
        </w:rPr>
      </w:r>
    </w:p>
    <w:p>
      <w:pPr>
        <w:pStyle w:val="Normal"/>
        <w:spacing w:lineRule="auto" w:line="480"/>
        <w:jc w:val="both"/>
        <w:rPr>
          <w:lang w:val="en-US"/>
        </w:rPr>
      </w:pPr>
      <w:r>
        <w:rPr/>
        <w:drawing>
          <wp:inline distT="0" distB="0" distL="0" distR="0">
            <wp:extent cx="5334000" cy="20027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334000" cy="2002790"/>
                    </a:xfrm>
                    <a:prstGeom prst="rect">
                      <a:avLst/>
                    </a:prstGeom>
                  </pic:spPr>
                </pic:pic>
              </a:graphicData>
            </a:graphic>
          </wp:inline>
        </w:drawing>
      </w:r>
    </w:p>
    <w:p>
      <w:pPr>
        <w:pStyle w:val="Normal"/>
        <w:spacing w:lineRule="auto" w:line="480"/>
        <w:jc w:val="both"/>
        <w:rPr>
          <w:lang w:val="en-US"/>
        </w:rPr>
      </w:pPr>
      <w:r>
        <w:rPr>
          <w:lang w:val="en-US"/>
        </w:rPr>
        <w:t>Figure 1: Examples for symmetry classes: A homoleptic complex with six times the same ligand, a strongly symmetric complex with the same ligand in axial and equatorial position, respectively, and a weakly symmetric ligand, which in addition also breaks the axial symmetry from the strongly symmetric complex.</w:t>
      </w:r>
    </w:p>
    <w:p>
      <w:pPr>
        <w:pStyle w:val="Normal"/>
        <w:spacing w:lineRule="auto" w:line="480"/>
        <w:jc w:val="both"/>
        <w:rPr/>
      </w:pPr>
      <w:r>
        <w:rPr>
          <w:lang w:val="en-US"/>
        </w:rPr>
        <w:t xml:space="preserve">To exemplify the scaling, we look at three different symmetry classes as shown in Figure 1. Without loss of generality we chose the octahedral geometry for simplicity. The homoleptic case will result in </w:t>
      </w:r>
    </w:p>
    <w:p>
      <w:pPr>
        <w:pStyle w:val="Normal"/>
        <w:spacing w:lineRule="auto" w:line="480"/>
        <w:jc w:val="both"/>
        <w:rPr/>
      </w:pP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l</m:t>
        </m:r>
      </m:oMath>
    </w:p>
    <w:p>
      <w:pPr>
        <w:pStyle w:val="Normal"/>
        <w:spacing w:lineRule="auto" w:line="480"/>
        <w:jc w:val="both"/>
        <w:rPr>
          <w:lang w:val="en-US"/>
        </w:rPr>
      </w:pPr>
      <w:r>
        <w:rPr>
          <w:lang w:val="en-US"/>
        </w:rPr>
        <w:t>different complexes, where $m$ and $l$ are the number of available metal centers and ligands, respectively. For the strongly symmetric case, there will be</w:t>
      </w:r>
    </w:p>
    <w:p>
      <w:pPr>
        <w:pStyle w:val="Normal"/>
        <w:spacing w:lineRule="auto" w:line="480"/>
        <w:jc w:val="both"/>
        <w:rPr>
          <w:lang w:val="en-US"/>
        </w:rPr>
      </w:pPr>
      <w:r>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l</m:t>
            </m:r>
            <m:r>
              <w:rPr>
                <w:rFonts w:ascii="Cambria Math" w:hAnsi="Cambria Math"/>
              </w:rPr>
              <m:t xml:space="preserve">!</m:t>
            </m:r>
          </m:num>
          <m:den>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2</m:t>
                </m:r>
              </m:e>
            </m:d>
            <m:r>
              <w:rPr>
                <w:rFonts w:ascii="Cambria Math" w:hAnsi="Cambria Math"/>
              </w:rPr>
              <m:t xml:space="preserve">!</m:t>
            </m:r>
          </m:den>
        </m:f>
      </m:oMath>
    </w:p>
    <w:p>
      <w:pPr>
        <w:pStyle w:val="Normal"/>
        <w:spacing w:lineRule="auto" w:line="480"/>
        <w:jc w:val="both"/>
        <w:rPr>
          <w:lang w:val="en-US"/>
        </w:rPr>
      </w:pPr>
      <w:r>
        <w:rPr>
          <w:lang w:val="en-US"/>
        </w:rPr>
        <w:t xml:space="preserve">distinguishable complexes, whereas in the weakly symmetric case we end up with </w:t>
      </w:r>
    </w:p>
    <w:p>
      <w:pPr>
        <w:pStyle w:val="Normal"/>
        <w:spacing w:lineRule="auto" w:line="480"/>
        <w:jc w:val="both"/>
        <w:rPr>
          <w:lang w:val="en-US"/>
        </w:rPr>
      </w:pPr>
      <w:r>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l</m:t>
            </m:r>
            <m:r>
              <w:rPr>
                <w:rFonts w:ascii="Cambria Math" w:hAnsi="Cambria Math"/>
              </w:rPr>
              <m:t xml:space="preserve">!</m:t>
            </m:r>
          </m:num>
          <m:den>
            <m:d>
              <m:dPr>
                <m:begChr m:val="("/>
                <m:endChr m:val=")"/>
              </m:dPr>
              <m:e>
                <m:r>
                  <w:rPr>
                    <w:rFonts w:ascii="Cambria Math" w:hAnsi="Cambria Math"/>
                  </w:rPr>
                  <m:t xml:space="preserve">l</m:t>
                </m:r>
                <m:r>
                  <w:rPr>
                    <w:rFonts w:ascii="Cambria Math" w:hAnsi="Cambria Math"/>
                  </w:rPr>
                  <m:t xml:space="preserve">−</m:t>
                </m:r>
                <m:r>
                  <w:rPr>
                    <w:rFonts w:ascii="Cambria Math" w:hAnsi="Cambria Math"/>
                  </w:rPr>
                  <m:t xml:space="preserve">3</m:t>
                </m:r>
              </m:e>
            </m:d>
            <m:r>
              <w:rPr>
                <w:rFonts w:ascii="Cambria Math" w:hAnsi="Cambria Math"/>
              </w:rPr>
              <m:t xml:space="preserve">!</m:t>
            </m:r>
            <m:r>
              <w:rPr>
                <w:rFonts w:ascii="Cambria Math" w:hAnsi="Cambria Math"/>
              </w:rPr>
              <m:t xml:space="preserve">⋅</m:t>
            </m:r>
            <m:r>
              <w:rPr>
                <w:rFonts w:ascii="Cambria Math" w:hAnsi="Cambria Math"/>
              </w:rPr>
              <m:t xml:space="preserve">2</m:t>
            </m:r>
          </m:den>
        </m:f>
      </m:oMath>
    </w:p>
    <w:p>
      <w:pPr>
        <w:pStyle w:val="Normal"/>
        <w:spacing w:lineRule="auto" w:line="480"/>
        <w:jc w:val="both"/>
        <w:rPr>
          <w:lang w:val="en-US"/>
        </w:rPr>
      </w:pPr>
      <w:r>
        <w:rPr>
          <w:lang w:val="en-US"/>
        </w:rPr>
        <w:t xml:space="preserve">complexes. Using four different metal centers and only 10 different ligands, we end up at 40, 360, and 1140 complexes. This exponential scaling prevents us from exhaustive analysis of the space. For lower symmetries, even enumeration becomes intractable. A complex with arbitrary ligands generates a data set with 4 </w:t>
      </w:r>
      <w:r>
        <w:rPr>
          <w:lang w:val="en-US"/>
        </w:rPr>
      </w:r>
      <m:oMath xmlns:m="http://schemas.openxmlformats.org/officeDocument/2006/math">
        <m:r>
          <w:rPr>
            <w:rFonts w:ascii="Cambria Math" w:hAnsi="Cambria Math"/>
          </w:rPr>
          <m:t xml:space="preserve">⋅</m:t>
        </m:r>
      </m:oMath>
      <w:r>
        <w:rPr>
          <w:rFonts w:eastAsia="" w:eastAsiaTheme="minorEastAsia"/>
          <w:lang w:val="en-US"/>
        </w:rPr>
        <w:t xml:space="preserve"> </w:t>
      </w:r>
      <w:r>
        <w:rPr>
          <w:lang w:val="en-US"/>
        </w:rPr>
        <w:t>10</w:t>
      </w:r>
      <w:bookmarkStart w:id="12" w:name="_GoBack"/>
      <w:r>
        <w:rPr>
          <w:vertAlign w:val="superscript"/>
          <w:lang w:val="en-US"/>
        </w:rPr>
        <w:t>6</w:t>
      </w:r>
      <w:bookmarkEnd w:id="12"/>
      <w:r>
        <w:rPr>
          <w:lang w:val="en-US"/>
        </w:rPr>
        <w:t xml:space="preserve"> complexes. </w:t>
      </w:r>
    </w:p>
    <w:p>
      <w:pPr>
        <w:pStyle w:val="Heading1"/>
        <w:spacing w:lineRule="auto" w:line="480"/>
        <w:jc w:val="both"/>
        <w:rPr/>
      </w:pPr>
      <w:r>
        <w:rPr>
          <w:lang w:val="en-US"/>
        </w:rPr>
        <w:t>Spectrochemical Series</w:t>
      </w:r>
    </w:p>
    <w:p>
      <w:pPr>
        <w:pStyle w:val="Normal"/>
        <w:spacing w:lineRule="auto" w:line="480"/>
        <w:jc w:val="both"/>
        <w:rPr/>
      </w:pPr>
      <w:r>
        <w:rPr>
          <w:lang w:val="en-US"/>
        </w:rPr>
        <w:t xml:space="preserve">In </w:t>
      </w:r>
      <w:r>
        <w:rPr>
          <w:lang w:val="en-US"/>
        </w:rPr>
        <w:t xml:space="preserve">crystal </w:t>
      </w:r>
      <w:r>
        <w:rPr>
          <w:lang w:val="en-US"/>
        </w:rPr>
        <w:t xml:space="preserve">field </w:t>
      </w:r>
      <w:r>
        <w:rPr>
          <w:lang w:val="en-US"/>
        </w:rPr>
        <w:t>theory, the spectrochemical series orders ligands according to their field strength. The stronger a ligand is, the larger the ligand-field splitting parameter which characterizes the energy difference in d orbitals. The analogous quantity for metals measures the crystal-field splitting parameter and depends on oxidation number</w:t>
      </w:r>
      <w:r>
        <w:rPr>
          <w:lang w:val="en-US"/>
        </w:rPr>
        <w:t>.</w:t>
      </w:r>
      <w:r>
        <w:fldChar w:fldCharType="begin"/>
      </w:r>
      <w:r>
        <w:rPr/>
        <w:instrText>ADDIN ZOTERO_ITEM CSL_CITATION {"citationID":"LR0pu8G8","properties":{"formattedCitation":"\\super 27\\uc0\\u8211{}29\\nosupersub{}","plainCitation":"27–29","noteIndex":0},"citationItems":[{"id":841,"uris":["http://zotero.org/users/4258242/items/GV87PBCN"],"uri":["http://zotero.org/users/4258242/items/GV87PBCN"],"itemData":{"id":841,"type":"article-journal","title":"Absorption Spectra of Co-ordination Compounds. I","container-title":"Bulletin of the Chemical Society of Japan","page":"388-400","volume":"13","issue":"5","source":"journal.csj.jp (Atypon)","abstract":"(1) The origins of absorption bands of co-ordination compounds have been discussed.(2) The first band is attributed to electron transitions in the unsaturated transition shell of the central ion. The band, therefore, appears only when the central ion is of a transition element.(3) The shift of the first band by substitution of ligands may be explained by postulating that the electron transitions are more or less depressed by the negative field of the ligand, which may conveniently be represented by P, the energy of approach of the ligand, i.e., the work done by the ligand if it were to approach from infinity to the seat of coordination. The ascending order of P i.e., the sequence of hypsochromic effect, is theoreticallyNH_3, H_2O, F^-, Cl^-, Br^-, I^-.The empirically obtained order of hypsochromic effect on the first band is &amp; NO_2^-, NH_3, ONO^-, H_2O, NCS^-, NO_3^-, SO_4^-,&amp; OH^-, C_2O_4^-, CO_3^-, S_2O_3^-, Cl^-, CrO_4^-, Br^-. All the experimental rules so far obtained of the shifts of the first bands by substitutions of ligands may be explained by the hypothesis.(4) The first is more or less additive. The complexes which have ligands situated far apart in the spectrochemical series have broader and less symmetrical first bands than those which contain only one kind of ligands.(5) The second band may be attributed to the co-ordination electrons, and is, therefore, the most general characteristic which a co-ordination compound should possess. Postulating that by absorption of a quantum hv2(v2=frequency of the second band) the co-ordinate linkage is broken to produce an excited metastable ligand in the original seat of co-ordination, the following relations have been derived:(Remark: Graphics omitted.)and S=hν2where Q = heat of formation per co-ordination, R = activation energy, S = co-ordination energy, Φ = lattice energy of the co-ordination compound Φ1’s= lattice energies of the component compounds of first order, and n = co-ordination number.","DOI":"10.1246/bcsj.13.388","ISSN":"0009-2673","note":"bibtex:tsuchida1938","journalAbbreviation":"BCSJ","author":[{"family":"Tsuchida","given":"Ryutaro"}],"issued":{"date-parts":[["1938",5,1]]}}},{"id":993,"uris":["http://zotero.org/users/4258242/items/67RG3MFL"],"uri":["http://zotero.org/users/4258242/items/67RG3MFL"],"itemData":{"id":993,"type":"article-journal","title":"Introduction to Ligand Field Theory","container-title":"Journal of The Electrochemical Society","page":"97C-97C","volume":"110","issue":"4","source":"jes.ecsdl.org","abstract":"Abstract not Available.","DOI":"10.1149/1.2425758","ISSN":"0013-4651, 1945-7111","note":"bibtex:ballhausen1963","journalAbbreviation":"J. Electrochem. Soc.","language":"en","author":[{"family":"Ballhausen","given":"Carl J."},{"family":"Weiner","given":"Michael A."}],"issued":{"date-parts":[["1963",4,1]]}}},{"id":985,"uris":["http://zotero.org/users/4258242/items/LJ8WKKJK"],"uri":["http://zotero.org/users/4258242/items/LJ8WKKJK"],"itemData":{"id":985,"type":"article-journal","title":"Ligand-field theory","container-title":"Quarterly Reviews, Chemical Society","page":"381-393","volume":"11","issue":"4","source":"pubs.rsc.org","abstract":"No abstract available","DOI":"10.1039/QR9571100381","ISSN":"0009-2681","note":"bibtex:griffith1957","journalAbbreviation":"Q. Rev. Chem. Soc.","language":"en","author":[{"family":"Griffith","given":"J. S."},{"family":"Orgel","given":"L. E."}],"issued":{"date-parts":[["1957",1,1]]}}}],"schema":"https://github.com/citation-style-language/schema/raw/master/csl-citation.json"}</w:instrText>
      </w:r>
      <w:r>
        <w:rPr/>
        <w:fldChar w:fldCharType="separate"/>
      </w:r>
      <w:bookmarkStart w:id="13" w:name="__Fieldmark__116_3510515060"/>
      <w:r>
        <w:rPr>
          <w:lang w:val="en-US"/>
        </w:rPr>
      </w:r>
      <w:r>
        <w:rPr>
          <w:rFonts w:cs="Calibri"/>
          <w:szCs w:val="24"/>
          <w:vertAlign w:val="superscript"/>
          <w:lang w:val="en-US"/>
        </w:rPr>
        <w:t>27–29</w:t>
      </w:r>
      <w:r>
        <w:rPr>
          <w:lang w:val="en-US"/>
        </w:rPr>
      </w:r>
      <w:r>
        <w:rPr/>
        <w:fldChar w:fldCharType="end"/>
      </w:r>
      <w:bookmarkEnd w:id="13"/>
      <w:r>
        <w:rPr>
          <w:lang w:val="en-US"/>
        </w:rPr>
        <w:t xml:space="preserve"> </w:t>
      </w:r>
      <w:r>
        <w:rPr>
          <w:lang w:val="en-US"/>
        </w:rPr>
        <w:t>For cheminformatics it is an interesting feature, because it captures a variety of effects in a single feature and gives structure to the TMC space, but it has never been systematically exploited for machine learning.</w:t>
      </w:r>
    </w:p>
    <w:p>
      <w:pPr>
        <w:pStyle w:val="Normal"/>
        <w:spacing w:lineRule="auto" w:line="480"/>
        <w:jc w:val="both"/>
        <w:rPr>
          <w:lang w:val="en-US"/>
        </w:rPr>
      </w:pPr>
      <w:r>
        <w:rPr>
          <w:lang w:val="en-US"/>
        </w:rPr>
      </w:r>
    </w:p>
    <w:p>
      <w:pPr>
        <w:pStyle w:val="Bibliography"/>
        <w:jc w:val="both"/>
        <w:rPr/>
      </w:pPr>
      <w:r>
        <w:fldChar w:fldCharType="begin"/>
      </w:r>
      <w:r>
        <w:rPr/>
        <w:instrText>ADDIN ZOTERO_BIBL {"uncited":[],"omitted":[],"custom":[]} CSL_BIBLIOGRAPHY</w:instrText>
      </w:r>
      <w:r>
        <w:rPr/>
        <w:fldChar w:fldCharType="separate"/>
      </w:r>
      <w:bookmarkStart w:id="14" w:name="__Fieldmark__121_3510515060"/>
      <w:r>
        <w:rPr/>
      </w:r>
      <w:r>
        <w:rPr>
          <w:rFonts w:cs="Calibri"/>
          <w:lang w:val="en-US"/>
        </w:rPr>
        <w:t>1.</w:t>
        <w:tab/>
        <w:t xml:space="preserve">Blair, C. M. &amp; Henze, H. R. THE NUMBER OF STEREOISOMERIC AND NON-STEREOISOMERIC PARAFFIN HYDROCARBONS. </w:t>
      </w:r>
      <w:r>
        <w:rPr>
          <w:rFonts w:cs="Calibri"/>
          <w:i/>
          <w:iCs/>
          <w:lang w:val="en-US"/>
        </w:rPr>
        <w:t>Journal of the American Chemical Society</w:t>
      </w:r>
      <w:r>
        <w:rPr>
          <w:rFonts w:cs="Calibri"/>
          <w:lang w:val="en-US"/>
        </w:rPr>
        <w:t xml:space="preserve"> </w:t>
      </w:r>
      <w:r>
        <w:rPr>
          <w:rFonts w:cs="Calibri"/>
          <w:b/>
          <w:bCs/>
          <w:lang w:val="en-US"/>
        </w:rPr>
        <w:t>54,</w:t>
      </w:r>
      <w:r>
        <w:rPr>
          <w:rFonts w:cs="Calibri"/>
          <w:lang w:val="en-US"/>
        </w:rPr>
        <w:t xml:space="preserve"> 1538–1545 (1932).</w:t>
      </w:r>
      <w:r>
        <w:rPr>
          <w:rFonts w:cs="Calibri"/>
          <w:lang w:val="en-US"/>
        </w:rPr>
      </w:r>
      <w:r>
        <w:rPr>
          <w:rFonts w:cs="Calibri"/>
        </w:rPr>
        <w:fldChar w:fldCharType="end"/>
      </w:r>
      <w:bookmarkEnd w:id="14"/>
    </w:p>
    <w:p>
      <w:pPr>
        <w:pStyle w:val="Bibliography"/>
        <w:jc w:val="both"/>
        <w:rPr>
          <w:rFonts w:ascii="Calibri" w:hAnsi="Calibri" w:cs="Calibri"/>
          <w:lang w:val="en-US"/>
        </w:rPr>
      </w:pPr>
      <w:r>
        <w:rPr>
          <w:rFonts w:cs="Calibri"/>
          <w:lang w:val="en-US"/>
        </w:rPr>
        <w:t>2.</w:t>
        <w:tab/>
        <w:t xml:space="preserve">Polishchuk, P. G., Madzhidov, T. I. &amp; Varnek, A. Estimation of the size of drug-like chemical space based on GDB-17 data. </w:t>
      </w:r>
      <w:r>
        <w:rPr>
          <w:rFonts w:cs="Calibri"/>
          <w:i/>
          <w:iCs/>
          <w:lang w:val="en-US"/>
        </w:rPr>
        <w:t>J Comput Aided Mol Des</w:t>
      </w:r>
      <w:r>
        <w:rPr>
          <w:rFonts w:cs="Calibri"/>
          <w:lang w:val="en-US"/>
        </w:rPr>
        <w:t xml:space="preserve"> </w:t>
      </w:r>
      <w:r>
        <w:rPr>
          <w:rFonts w:cs="Calibri"/>
          <w:b/>
          <w:bCs/>
          <w:lang w:val="en-US"/>
        </w:rPr>
        <w:t>27,</w:t>
      </w:r>
      <w:r>
        <w:rPr>
          <w:rFonts w:cs="Calibri"/>
          <w:lang w:val="en-US"/>
        </w:rPr>
        <w:t xml:space="preserve"> 675–679 (2013).</w:t>
      </w:r>
    </w:p>
    <w:p>
      <w:pPr>
        <w:pStyle w:val="Bibliography"/>
        <w:jc w:val="both"/>
        <w:rPr>
          <w:rFonts w:ascii="Calibri" w:hAnsi="Calibri" w:cs="Calibri"/>
          <w:lang w:val="en-US"/>
        </w:rPr>
      </w:pPr>
      <w:r>
        <w:rPr>
          <w:rFonts w:cs="Calibri"/>
          <w:lang w:val="en-US"/>
        </w:rPr>
        <w:t>3.</w:t>
        <w:tab/>
        <w:t xml:space="preserve">Bohacek, R. S., McMartin, C. &amp; Guida, W. C. The art and practice of structure‐based drug design: A molecular modeling perspective. </w:t>
      </w:r>
      <w:r>
        <w:rPr>
          <w:rFonts w:cs="Calibri"/>
          <w:i/>
          <w:iCs/>
          <w:lang w:val="en-US"/>
        </w:rPr>
        <w:t>Medicinal Research Reviews</w:t>
      </w:r>
      <w:r>
        <w:rPr>
          <w:rFonts w:cs="Calibri"/>
          <w:lang w:val="en-US"/>
        </w:rPr>
        <w:t xml:space="preserve"> </w:t>
      </w:r>
      <w:r>
        <w:rPr>
          <w:rFonts w:cs="Calibri"/>
          <w:b/>
          <w:bCs/>
          <w:lang w:val="en-US"/>
        </w:rPr>
        <w:t>16,</w:t>
      </w:r>
      <w:r>
        <w:rPr>
          <w:rFonts w:cs="Calibri"/>
          <w:lang w:val="en-US"/>
        </w:rPr>
        <w:t xml:space="preserve"> 3–50 (1998).</w:t>
      </w:r>
    </w:p>
    <w:p>
      <w:pPr>
        <w:pStyle w:val="Bibliography"/>
        <w:jc w:val="both"/>
        <w:rPr>
          <w:rFonts w:ascii="Calibri" w:hAnsi="Calibri" w:cs="Calibri"/>
          <w:lang w:val="en-US"/>
        </w:rPr>
      </w:pPr>
      <w:r>
        <w:rPr>
          <w:rFonts w:cs="Calibri"/>
          <w:lang w:val="en-US"/>
        </w:rPr>
        <w:t>4.</w:t>
        <w:tab/>
        <w:t xml:space="preserve">Wester, M. J. </w:t>
      </w:r>
      <w:r>
        <w:rPr>
          <w:rFonts w:cs="Calibri"/>
          <w:i/>
          <w:iCs/>
          <w:lang w:val="en-US"/>
        </w:rPr>
        <w:t>et al.</w:t>
      </w:r>
      <w:r>
        <w:rPr>
          <w:rFonts w:cs="Calibri"/>
          <w:lang w:val="en-US"/>
        </w:rPr>
        <w:t xml:space="preserve"> Scaffold Topologies. 2. Analysis of Chemical Databases. </w:t>
      </w:r>
      <w:r>
        <w:rPr>
          <w:rFonts w:cs="Calibri"/>
          <w:i/>
          <w:iCs/>
          <w:lang w:val="en-US"/>
        </w:rPr>
        <w:t>J. Chem. Inf. Model.</w:t>
      </w:r>
      <w:r>
        <w:rPr>
          <w:rFonts w:cs="Calibri"/>
          <w:lang w:val="en-US"/>
        </w:rPr>
        <w:t xml:space="preserve"> </w:t>
      </w:r>
      <w:r>
        <w:rPr>
          <w:rFonts w:cs="Calibri"/>
          <w:b/>
          <w:bCs/>
          <w:lang w:val="en-US"/>
        </w:rPr>
        <w:t>48,</w:t>
      </w:r>
      <w:r>
        <w:rPr>
          <w:rFonts w:cs="Calibri"/>
          <w:lang w:val="en-US"/>
        </w:rPr>
        <w:t xml:space="preserve"> 1311–1324 (2008).</w:t>
      </w:r>
    </w:p>
    <w:p>
      <w:pPr>
        <w:pStyle w:val="Bibliography"/>
        <w:jc w:val="both"/>
        <w:rPr>
          <w:rFonts w:ascii="Calibri" w:hAnsi="Calibri" w:cs="Calibri"/>
          <w:lang w:val="en-US"/>
        </w:rPr>
      </w:pPr>
      <w:r>
        <w:rPr>
          <w:rFonts w:cs="Calibri"/>
          <w:lang w:val="en-US"/>
        </w:rPr>
        <w:t>5.</w:t>
        <w:tab/>
        <w:t xml:space="preserve">Triggle, D. J. The chemist as astronaut: Searching for biologically useful space in the chemical universe. </w:t>
      </w:r>
      <w:r>
        <w:rPr>
          <w:rFonts w:cs="Calibri"/>
          <w:i/>
          <w:iCs/>
          <w:lang w:val="en-US"/>
        </w:rPr>
        <w:t>Biochemical Pharmacology</w:t>
      </w:r>
      <w:r>
        <w:rPr>
          <w:rFonts w:cs="Calibri"/>
          <w:lang w:val="en-US"/>
        </w:rPr>
        <w:t xml:space="preserve"> </w:t>
      </w:r>
      <w:r>
        <w:rPr>
          <w:rFonts w:cs="Calibri"/>
          <w:b/>
          <w:bCs/>
          <w:lang w:val="en-US"/>
        </w:rPr>
        <w:t>78,</w:t>
      </w:r>
      <w:r>
        <w:rPr>
          <w:rFonts w:cs="Calibri"/>
          <w:lang w:val="en-US"/>
        </w:rPr>
        <w:t xml:space="preserve"> 217–223 (2009).</w:t>
      </w:r>
    </w:p>
    <w:p>
      <w:pPr>
        <w:pStyle w:val="Bibliography"/>
        <w:jc w:val="both"/>
        <w:rPr>
          <w:rFonts w:ascii="Calibri" w:hAnsi="Calibri" w:cs="Calibri"/>
          <w:lang w:val="en-US"/>
        </w:rPr>
      </w:pPr>
      <w:r>
        <w:rPr>
          <w:rFonts w:cs="Calibri"/>
          <w:lang w:val="en-US"/>
        </w:rPr>
        <w:t>6.</w:t>
        <w:tab/>
        <w:t xml:space="preserve">Bartók, A. P., Kondor, R. &amp; Csányi, G. On representing chemical environments. </w:t>
      </w:r>
      <w:r>
        <w:rPr>
          <w:rFonts w:cs="Calibri"/>
          <w:i/>
          <w:iCs/>
          <w:lang w:val="en-US"/>
        </w:rPr>
        <w:t>Physical Review B</w:t>
      </w:r>
      <w:r>
        <w:rPr>
          <w:rFonts w:cs="Calibri"/>
          <w:lang w:val="en-US"/>
        </w:rPr>
        <w:t xml:space="preserve"> </w:t>
      </w:r>
      <w:r>
        <w:rPr>
          <w:rFonts w:cs="Calibri"/>
          <w:b/>
          <w:bCs/>
          <w:lang w:val="en-US"/>
        </w:rPr>
        <w:t>87,</w:t>
      </w:r>
      <w:r>
        <w:rPr>
          <w:rFonts w:cs="Calibri"/>
          <w:lang w:val="en-US"/>
        </w:rPr>
        <w:t xml:space="preserve"> (2013).</w:t>
      </w:r>
    </w:p>
    <w:p>
      <w:pPr>
        <w:pStyle w:val="Bibliography"/>
        <w:jc w:val="both"/>
        <w:rPr>
          <w:rFonts w:ascii="Calibri" w:hAnsi="Calibri" w:cs="Calibri"/>
          <w:lang w:val="en-US"/>
        </w:rPr>
      </w:pPr>
      <w:r>
        <w:rPr>
          <w:rFonts w:cs="Calibri"/>
          <w:lang w:val="en-US"/>
        </w:rPr>
        <w:t>7.</w:t>
        <w:tab/>
        <w:t xml:space="preserve">Ghiringhelli, L. M., Vybiral, J., Levchenko, S. V., Draxl, C. &amp; Scheffler, M. Big Data of Materials Science: Critical Role of the Descriptor. </w:t>
      </w:r>
      <w:r>
        <w:rPr>
          <w:rFonts w:cs="Calibri"/>
          <w:i/>
          <w:iCs/>
          <w:lang w:val="en-US"/>
        </w:rPr>
        <w:t>Phys. Rev. Lett.</w:t>
      </w:r>
      <w:r>
        <w:rPr>
          <w:rFonts w:cs="Calibri"/>
          <w:lang w:val="en-US"/>
        </w:rPr>
        <w:t xml:space="preserve"> </w:t>
      </w:r>
      <w:r>
        <w:rPr>
          <w:rFonts w:cs="Calibri"/>
          <w:b/>
          <w:bCs/>
          <w:lang w:val="en-US"/>
        </w:rPr>
        <w:t>114,</w:t>
      </w:r>
      <w:r>
        <w:rPr>
          <w:rFonts w:cs="Calibri"/>
          <w:lang w:val="en-US"/>
        </w:rPr>
        <w:t xml:space="preserve"> 105503 (2015).</w:t>
      </w:r>
    </w:p>
    <w:p>
      <w:pPr>
        <w:pStyle w:val="Bibliography"/>
        <w:jc w:val="both"/>
        <w:rPr>
          <w:rFonts w:ascii="Calibri" w:hAnsi="Calibri" w:cs="Calibri"/>
          <w:lang w:val="en-US"/>
        </w:rPr>
      </w:pPr>
      <w:r>
        <w:rPr>
          <w:rFonts w:cs="Calibri"/>
          <w:lang w:val="en-US"/>
        </w:rPr>
        <w:t>8.</w:t>
        <w:tab/>
        <w:t xml:space="preserve">Tan, D. S. Diversity-oriented synthesis: exploring the intersections between chemistry and biology. </w:t>
      </w:r>
      <w:r>
        <w:rPr>
          <w:rFonts w:cs="Calibri"/>
          <w:i/>
          <w:iCs/>
          <w:lang w:val="en-US"/>
        </w:rPr>
        <w:t>Nature Chemical Biology</w:t>
      </w:r>
      <w:r>
        <w:rPr>
          <w:rFonts w:cs="Calibri"/>
          <w:lang w:val="en-US"/>
        </w:rPr>
        <w:t xml:space="preserve"> </w:t>
      </w:r>
      <w:r>
        <w:rPr>
          <w:rFonts w:cs="Calibri"/>
          <w:b/>
          <w:bCs/>
          <w:lang w:val="en-US"/>
        </w:rPr>
        <w:t>1,</w:t>
      </w:r>
      <w:r>
        <w:rPr>
          <w:rFonts w:cs="Calibri"/>
          <w:lang w:val="en-US"/>
        </w:rPr>
        <w:t xml:space="preserve"> 74–84 (2005).</w:t>
      </w:r>
    </w:p>
    <w:p>
      <w:pPr>
        <w:pStyle w:val="Bibliography"/>
        <w:jc w:val="both"/>
        <w:rPr>
          <w:rFonts w:ascii="Calibri" w:hAnsi="Calibri" w:cs="Calibri"/>
          <w:lang w:val="en-US"/>
        </w:rPr>
      </w:pPr>
      <w:r>
        <w:rPr>
          <w:rFonts w:cs="Calibri"/>
          <w:lang w:val="en-US"/>
        </w:rPr>
        <w:t>9.</w:t>
        <w:tab/>
        <w:t xml:space="preserve">Hajduk, P. J., Galloway, W. R. J. D. &amp; Spring, D. R. Drug discovery: A question of library design. </w:t>
      </w:r>
      <w:r>
        <w:rPr>
          <w:rFonts w:cs="Calibri"/>
          <w:i/>
          <w:iCs/>
          <w:lang w:val="en-US"/>
        </w:rPr>
        <w:t>Nature</w:t>
      </w:r>
      <w:r>
        <w:rPr>
          <w:rFonts w:cs="Calibri"/>
          <w:lang w:val="en-US"/>
        </w:rPr>
        <w:t xml:space="preserve"> </w:t>
      </w:r>
      <w:r>
        <w:rPr>
          <w:rFonts w:cs="Calibri"/>
          <w:b/>
          <w:bCs/>
          <w:lang w:val="en-US"/>
        </w:rPr>
        <w:t>470,</w:t>
      </w:r>
      <w:r>
        <w:rPr>
          <w:rFonts w:cs="Calibri"/>
          <w:lang w:val="en-US"/>
        </w:rPr>
        <w:t xml:space="preserve"> 42–43 (2011).</w:t>
      </w:r>
    </w:p>
    <w:p>
      <w:pPr>
        <w:pStyle w:val="Bibliography"/>
        <w:jc w:val="both"/>
        <w:rPr>
          <w:rFonts w:ascii="Calibri" w:hAnsi="Calibri" w:cs="Calibri"/>
          <w:lang w:val="en-US"/>
        </w:rPr>
      </w:pPr>
      <w:r>
        <w:rPr>
          <w:rFonts w:cs="Calibri"/>
          <w:lang w:val="en-US"/>
        </w:rPr>
        <w:t>10.</w:t>
        <w:tab/>
        <w:t xml:space="preserve">Galloway, W. R. J. D., Isidro-Llobet, A. &amp; Spring, D. R. Diversity-oriented synthesis as a tool for the discovery of novel biologically active small molecules. </w:t>
      </w:r>
      <w:r>
        <w:rPr>
          <w:rFonts w:cs="Calibri"/>
          <w:i/>
          <w:iCs/>
          <w:lang w:val="en-US"/>
        </w:rPr>
        <w:t>Nature Communications</w:t>
      </w:r>
      <w:r>
        <w:rPr>
          <w:rFonts w:cs="Calibri"/>
          <w:lang w:val="en-US"/>
        </w:rPr>
        <w:t xml:space="preserve"> </w:t>
      </w:r>
      <w:r>
        <w:rPr>
          <w:rFonts w:cs="Calibri"/>
          <w:b/>
          <w:bCs/>
          <w:lang w:val="en-US"/>
        </w:rPr>
        <w:t>1,</w:t>
      </w:r>
      <w:r>
        <w:rPr>
          <w:rFonts w:cs="Calibri"/>
          <w:lang w:val="en-US"/>
        </w:rPr>
        <w:t xml:space="preserve"> 80 (2010).</w:t>
      </w:r>
    </w:p>
    <w:p>
      <w:pPr>
        <w:pStyle w:val="Bibliography"/>
        <w:jc w:val="both"/>
        <w:rPr>
          <w:rFonts w:ascii="Calibri" w:hAnsi="Calibri" w:cs="Calibri"/>
          <w:lang w:val="en-US"/>
        </w:rPr>
      </w:pPr>
      <w:r>
        <w:rPr>
          <w:rFonts w:cs="Calibri"/>
          <w:lang w:val="en-US"/>
        </w:rPr>
        <w:t>11.</w:t>
        <w:tab/>
        <w:t xml:space="preserve">Hachmann, J. </w:t>
      </w:r>
      <w:r>
        <w:rPr>
          <w:rFonts w:cs="Calibri"/>
          <w:i/>
          <w:iCs/>
          <w:lang w:val="en-US"/>
        </w:rPr>
        <w:t>et al.</w:t>
      </w:r>
      <w:r>
        <w:rPr>
          <w:rFonts w:cs="Calibri"/>
          <w:lang w:val="en-US"/>
        </w:rPr>
        <w:t xml:space="preserve"> The Harvard Clean Energy Project: Large-Scale Computational Screening and Design of Organic Photovoltaics on the World Community Grid. </w:t>
      </w:r>
      <w:r>
        <w:rPr>
          <w:rFonts w:cs="Calibri"/>
          <w:i/>
          <w:iCs/>
          <w:lang w:val="en-US"/>
        </w:rPr>
        <w:t>J. Phys. Chem. Lett.</w:t>
      </w:r>
      <w:r>
        <w:rPr>
          <w:rFonts w:cs="Calibri"/>
          <w:lang w:val="en-US"/>
        </w:rPr>
        <w:t xml:space="preserve"> </w:t>
      </w:r>
      <w:r>
        <w:rPr>
          <w:rFonts w:cs="Calibri"/>
          <w:b/>
          <w:bCs/>
          <w:lang w:val="en-US"/>
        </w:rPr>
        <w:t>2,</w:t>
      </w:r>
      <w:r>
        <w:rPr>
          <w:rFonts w:cs="Calibri"/>
          <w:lang w:val="en-US"/>
        </w:rPr>
        <w:t xml:space="preserve"> 2241–2251 (2011).</w:t>
      </w:r>
    </w:p>
    <w:p>
      <w:pPr>
        <w:pStyle w:val="Bibliography"/>
        <w:jc w:val="both"/>
        <w:rPr>
          <w:rFonts w:ascii="Calibri" w:hAnsi="Calibri" w:cs="Calibri"/>
          <w:lang w:val="en-US"/>
        </w:rPr>
      </w:pPr>
      <w:r>
        <w:rPr>
          <w:rFonts w:cs="Calibri"/>
          <w:lang w:val="en-US"/>
        </w:rPr>
        <w:t>12.</w:t>
        <w:tab/>
        <w:t xml:space="preserve">Jain, A. </w:t>
      </w:r>
      <w:r>
        <w:rPr>
          <w:rFonts w:cs="Calibri"/>
          <w:i/>
          <w:iCs/>
          <w:lang w:val="en-US"/>
        </w:rPr>
        <w:t>et al.</w:t>
      </w:r>
      <w:r>
        <w:rPr>
          <w:rFonts w:cs="Calibri"/>
          <w:lang w:val="en-US"/>
        </w:rPr>
        <w:t xml:space="preserve"> A high-throughput infrastructure for density functional theory calculations. </w:t>
      </w:r>
      <w:r>
        <w:rPr>
          <w:rFonts w:cs="Calibri"/>
          <w:i/>
          <w:iCs/>
          <w:lang w:val="en-US"/>
        </w:rPr>
        <w:t>Computational Materials Science</w:t>
      </w:r>
      <w:r>
        <w:rPr>
          <w:rFonts w:cs="Calibri"/>
          <w:lang w:val="en-US"/>
        </w:rPr>
        <w:t xml:space="preserve"> </w:t>
      </w:r>
      <w:r>
        <w:rPr>
          <w:rFonts w:cs="Calibri"/>
          <w:b/>
          <w:bCs/>
          <w:lang w:val="en-US"/>
        </w:rPr>
        <w:t>50,</w:t>
      </w:r>
      <w:r>
        <w:rPr>
          <w:rFonts w:cs="Calibri"/>
          <w:lang w:val="en-US"/>
        </w:rPr>
        <w:t xml:space="preserve"> 2295–2310 (2011).</w:t>
      </w:r>
    </w:p>
    <w:p>
      <w:pPr>
        <w:pStyle w:val="Bibliography"/>
        <w:jc w:val="both"/>
        <w:rPr>
          <w:rFonts w:ascii="Calibri" w:hAnsi="Calibri" w:cs="Calibri"/>
          <w:lang w:val="en-US"/>
        </w:rPr>
      </w:pPr>
      <w:r>
        <w:rPr>
          <w:rFonts w:cs="Calibri"/>
          <w:lang w:val="en-US"/>
        </w:rPr>
        <w:t>13.</w:t>
        <w:tab/>
        <w:t xml:space="preserve">Hautier, G., Fischer, C. C., Jain, A., Mueller, T. &amp; Ceder, G. Finding Nature’s Missing Ternary Oxide Compounds Using Machine Learning and Density Functional Theory. </w:t>
      </w:r>
      <w:r>
        <w:rPr>
          <w:rFonts w:cs="Calibri"/>
          <w:i/>
          <w:iCs/>
          <w:lang w:val="en-US"/>
        </w:rPr>
        <w:t>Chem. Mater.</w:t>
      </w:r>
      <w:r>
        <w:rPr>
          <w:rFonts w:cs="Calibri"/>
          <w:lang w:val="en-US"/>
        </w:rPr>
        <w:t xml:space="preserve"> </w:t>
      </w:r>
      <w:r>
        <w:rPr>
          <w:rFonts w:cs="Calibri"/>
          <w:b/>
          <w:bCs/>
          <w:lang w:val="en-US"/>
        </w:rPr>
        <w:t>22,</w:t>
      </w:r>
      <w:r>
        <w:rPr>
          <w:rFonts w:cs="Calibri"/>
          <w:lang w:val="en-US"/>
        </w:rPr>
        <w:t xml:space="preserve"> 3762–3767 (2010).</w:t>
      </w:r>
    </w:p>
    <w:p>
      <w:pPr>
        <w:pStyle w:val="Bibliography"/>
        <w:jc w:val="both"/>
        <w:rPr>
          <w:rFonts w:ascii="Calibri" w:hAnsi="Calibri" w:cs="Calibri"/>
          <w:lang w:val="en-US"/>
        </w:rPr>
      </w:pPr>
      <w:r>
        <w:rPr>
          <w:rFonts w:cs="Calibri"/>
          <w:lang w:val="en-US"/>
        </w:rPr>
        <w:t>14.</w:t>
        <w:tab/>
        <w:t xml:space="preserve">Jensen, P. B. </w:t>
      </w:r>
      <w:r>
        <w:rPr>
          <w:rFonts w:cs="Calibri"/>
          <w:i/>
          <w:iCs/>
          <w:lang w:val="en-US"/>
        </w:rPr>
        <w:t>et al.</w:t>
      </w:r>
      <w:r>
        <w:rPr>
          <w:rFonts w:cs="Calibri"/>
          <w:lang w:val="en-US"/>
        </w:rPr>
        <w:t xml:space="preserve"> Accelerated DFT-Based Design of Materials for Ammonia Storage. </w:t>
      </w:r>
      <w:r>
        <w:rPr>
          <w:rFonts w:cs="Calibri"/>
          <w:i/>
          <w:iCs/>
          <w:lang w:val="en-US"/>
        </w:rPr>
        <w:t>Chem. Mater.</w:t>
      </w:r>
      <w:r>
        <w:rPr>
          <w:rFonts w:cs="Calibri"/>
          <w:lang w:val="en-US"/>
        </w:rPr>
        <w:t xml:space="preserve"> </w:t>
      </w:r>
      <w:r>
        <w:rPr>
          <w:rFonts w:cs="Calibri"/>
          <w:b/>
          <w:bCs/>
          <w:lang w:val="en-US"/>
        </w:rPr>
        <w:t>27,</w:t>
      </w:r>
      <w:r>
        <w:rPr>
          <w:rFonts w:cs="Calibri"/>
          <w:lang w:val="en-US"/>
        </w:rPr>
        <w:t xml:space="preserve"> 4552–4561 (2015).</w:t>
      </w:r>
    </w:p>
    <w:p>
      <w:pPr>
        <w:pStyle w:val="Bibliography"/>
        <w:jc w:val="both"/>
        <w:rPr>
          <w:rFonts w:ascii="Calibri" w:hAnsi="Calibri" w:cs="Calibri"/>
          <w:lang w:val="en-US"/>
        </w:rPr>
      </w:pPr>
      <w:r>
        <w:rPr>
          <w:rFonts w:cs="Calibri"/>
          <w:lang w:val="en-US"/>
        </w:rPr>
        <w:t>15.</w:t>
        <w:tab/>
        <w:t xml:space="preserve">Nørskov, J. K., Bligaard, T., Rossmeisl, J. &amp; Christensen, C. H. Towards the computational design of solid catalysts. </w:t>
      </w:r>
      <w:r>
        <w:rPr>
          <w:rFonts w:cs="Calibri"/>
          <w:i/>
          <w:iCs/>
          <w:lang w:val="en-US"/>
        </w:rPr>
        <w:t>Nature Chemistry</w:t>
      </w:r>
      <w:r>
        <w:rPr>
          <w:rFonts w:cs="Calibri"/>
          <w:lang w:val="en-US"/>
        </w:rPr>
        <w:t xml:space="preserve"> </w:t>
      </w:r>
      <w:r>
        <w:rPr>
          <w:rFonts w:cs="Calibri"/>
          <w:b/>
          <w:bCs/>
          <w:lang w:val="en-US"/>
        </w:rPr>
        <w:t>1,</w:t>
      </w:r>
      <w:r>
        <w:rPr>
          <w:rFonts w:cs="Calibri"/>
          <w:lang w:val="en-US"/>
        </w:rPr>
        <w:t xml:space="preserve"> 37–46 (2009).</w:t>
      </w:r>
    </w:p>
    <w:p>
      <w:pPr>
        <w:pStyle w:val="Bibliography"/>
        <w:jc w:val="both"/>
        <w:rPr>
          <w:rFonts w:ascii="Calibri" w:hAnsi="Calibri" w:cs="Calibri"/>
          <w:lang w:val="en-US"/>
        </w:rPr>
      </w:pPr>
      <w:r>
        <w:rPr>
          <w:rFonts w:cs="Calibri"/>
          <w:lang w:val="en-US"/>
        </w:rPr>
        <w:t>16.</w:t>
        <w:tab/>
        <w:t xml:space="preserve">Greeley, J., Jaramillo, T. F., Bonde, J., Chorkendorff, I. &amp; Nørskov, J. K. Computational high-throughput screening of electrocatalytic materials for hydrogen evolution. </w:t>
      </w:r>
      <w:r>
        <w:rPr>
          <w:rFonts w:cs="Calibri"/>
          <w:i/>
          <w:iCs/>
          <w:lang w:val="en-US"/>
        </w:rPr>
        <w:t>Nature Materials</w:t>
      </w:r>
      <w:r>
        <w:rPr>
          <w:rFonts w:cs="Calibri"/>
          <w:lang w:val="en-US"/>
        </w:rPr>
        <w:t xml:space="preserve"> </w:t>
      </w:r>
      <w:r>
        <w:rPr>
          <w:rFonts w:cs="Calibri"/>
          <w:b/>
          <w:bCs/>
          <w:lang w:val="en-US"/>
        </w:rPr>
        <w:t>5,</w:t>
      </w:r>
      <w:r>
        <w:rPr>
          <w:rFonts w:cs="Calibri"/>
          <w:lang w:val="en-US"/>
        </w:rPr>
        <w:t xml:space="preserve"> 909–913 (2006).</w:t>
      </w:r>
    </w:p>
    <w:p>
      <w:pPr>
        <w:pStyle w:val="Bibliography"/>
        <w:jc w:val="both"/>
        <w:rPr>
          <w:rFonts w:ascii="Calibri" w:hAnsi="Calibri" w:cs="Calibri"/>
          <w:lang w:val="en-US"/>
        </w:rPr>
      </w:pPr>
      <w:r>
        <w:rPr>
          <w:rFonts w:cs="Calibri"/>
          <w:lang w:val="en-US"/>
        </w:rPr>
        <w:t>17.</w:t>
        <w:tab/>
        <w:t xml:space="preserve">Curtarolo, S. </w:t>
      </w:r>
      <w:r>
        <w:rPr>
          <w:rFonts w:cs="Calibri"/>
          <w:i/>
          <w:iCs/>
          <w:lang w:val="en-US"/>
        </w:rPr>
        <w:t>et al.</w:t>
      </w:r>
      <w:r>
        <w:rPr>
          <w:rFonts w:cs="Calibri"/>
          <w:lang w:val="en-US"/>
        </w:rPr>
        <w:t xml:space="preserve"> The high-throughput highway to computational materials design. </w:t>
      </w:r>
      <w:r>
        <w:rPr>
          <w:rFonts w:cs="Calibri"/>
          <w:i/>
          <w:iCs/>
          <w:lang w:val="en-US"/>
        </w:rPr>
        <w:t>Nature Materials</w:t>
      </w:r>
      <w:r>
        <w:rPr>
          <w:rFonts w:cs="Calibri"/>
          <w:lang w:val="en-US"/>
        </w:rPr>
        <w:t xml:space="preserve"> </w:t>
      </w:r>
      <w:r>
        <w:rPr>
          <w:rFonts w:cs="Calibri"/>
          <w:b/>
          <w:bCs/>
          <w:lang w:val="en-US"/>
        </w:rPr>
        <w:t>12,</w:t>
      </w:r>
      <w:r>
        <w:rPr>
          <w:rFonts w:cs="Calibri"/>
          <w:lang w:val="en-US"/>
        </w:rPr>
        <w:t xml:space="preserve"> 191–201 (2013).</w:t>
      </w:r>
    </w:p>
    <w:p>
      <w:pPr>
        <w:pStyle w:val="Bibliography"/>
        <w:jc w:val="both"/>
        <w:rPr>
          <w:rFonts w:ascii="Calibri" w:hAnsi="Calibri" w:cs="Calibri"/>
          <w:lang w:val="en-US"/>
        </w:rPr>
      </w:pPr>
      <w:r>
        <w:rPr>
          <w:rFonts w:cs="Calibri"/>
          <w:lang w:val="en-US"/>
        </w:rPr>
        <w:t>18.</w:t>
        <w:tab/>
        <w:t xml:space="preserve">Rajan, K. Combinatorial Materials Sciences: Experimental Strategies for Accelerated Knowledge Discovery. </w:t>
      </w:r>
      <w:r>
        <w:rPr>
          <w:rFonts w:cs="Calibri"/>
          <w:i/>
          <w:iCs/>
          <w:lang w:val="en-US"/>
        </w:rPr>
        <w:t>Annu. Rev. Mater. Res.</w:t>
      </w:r>
      <w:r>
        <w:rPr>
          <w:rFonts w:cs="Calibri"/>
          <w:lang w:val="en-US"/>
        </w:rPr>
        <w:t xml:space="preserve"> </w:t>
      </w:r>
      <w:r>
        <w:rPr>
          <w:rFonts w:cs="Calibri"/>
          <w:b/>
          <w:bCs/>
          <w:lang w:val="en-US"/>
        </w:rPr>
        <w:t>38,</w:t>
      </w:r>
      <w:r>
        <w:rPr>
          <w:rFonts w:cs="Calibri"/>
          <w:lang w:val="en-US"/>
        </w:rPr>
        <w:t xml:space="preserve"> 299–322 (2008).</w:t>
      </w:r>
    </w:p>
    <w:p>
      <w:pPr>
        <w:pStyle w:val="Bibliography"/>
        <w:jc w:val="both"/>
        <w:rPr>
          <w:rFonts w:ascii="Calibri" w:hAnsi="Calibri" w:cs="Calibri"/>
          <w:lang w:val="en-US"/>
        </w:rPr>
      </w:pPr>
      <w:r>
        <w:rPr>
          <w:rFonts w:cs="Calibri"/>
          <w:lang w:val="en-US"/>
        </w:rPr>
        <w:t>19.</w:t>
        <w:tab/>
        <w:t xml:space="preserve">Kirkpatrick, P. &amp; Ellis, C. Chemical space. </w:t>
      </w:r>
      <w:r>
        <w:rPr>
          <w:rFonts w:cs="Calibri"/>
          <w:i/>
          <w:iCs/>
          <w:lang w:val="en-US"/>
        </w:rPr>
        <w:t>Nature</w:t>
      </w:r>
      <w:r>
        <w:rPr>
          <w:rFonts w:cs="Calibri"/>
          <w:lang w:val="en-US"/>
        </w:rPr>
        <w:t xml:space="preserve"> (2004). doi:10.1038/432823a</w:t>
      </w:r>
    </w:p>
    <w:p>
      <w:pPr>
        <w:pStyle w:val="Bibliography"/>
        <w:jc w:val="both"/>
        <w:rPr>
          <w:rFonts w:ascii="Calibri" w:hAnsi="Calibri" w:cs="Calibri"/>
          <w:lang w:val="en-US"/>
        </w:rPr>
      </w:pPr>
      <w:r>
        <w:rPr>
          <w:rFonts w:cs="Calibri"/>
          <w:lang w:val="en-US"/>
        </w:rPr>
        <w:t>20.</w:t>
        <w:tab/>
        <w:t xml:space="preserve">Virshup, A. M., Contreras-García, J., Wipf, P., Yang, W. &amp; Beratan, D. N. Stochastic Voyages into Uncharted Chemical Space Produce a Representative Library of All Possible Drug-Like Compounds. </w:t>
      </w:r>
      <w:r>
        <w:rPr>
          <w:rFonts w:cs="Calibri"/>
          <w:i/>
          <w:iCs/>
          <w:lang w:val="en-US"/>
        </w:rPr>
        <w:t>J. Am. Chem. Soc.</w:t>
      </w:r>
      <w:r>
        <w:rPr>
          <w:rFonts w:cs="Calibri"/>
          <w:lang w:val="en-US"/>
        </w:rPr>
        <w:t xml:space="preserve"> </w:t>
      </w:r>
      <w:r>
        <w:rPr>
          <w:rFonts w:cs="Calibri"/>
          <w:b/>
          <w:bCs/>
          <w:lang w:val="en-US"/>
        </w:rPr>
        <w:t>135,</w:t>
      </w:r>
      <w:r>
        <w:rPr>
          <w:rFonts w:cs="Calibri"/>
          <w:lang w:val="en-US"/>
        </w:rPr>
        <w:t xml:space="preserve"> 7296–7303 (2013).</w:t>
      </w:r>
    </w:p>
    <w:p>
      <w:pPr>
        <w:pStyle w:val="Bibliography"/>
        <w:jc w:val="both"/>
        <w:rPr>
          <w:rFonts w:ascii="Calibri" w:hAnsi="Calibri" w:cs="Calibri"/>
          <w:lang w:val="en-US"/>
        </w:rPr>
      </w:pPr>
      <w:r>
        <w:rPr>
          <w:rFonts w:cs="Calibri"/>
          <w:lang w:val="en-US"/>
        </w:rPr>
        <w:t>21.</w:t>
        <w:tab/>
        <w:t xml:space="preserve">Ruddigkeit, L., van Deursen, R., Blum, L. C. &amp; Reymond, J.-L. Enumeration of 166 Billion Organic Small Molecules in the Chemical Universe Database GDB-17. </w:t>
      </w:r>
      <w:r>
        <w:rPr>
          <w:rFonts w:cs="Calibri"/>
          <w:i/>
          <w:iCs/>
          <w:lang w:val="en-US"/>
        </w:rPr>
        <w:t>J. Chem. Inf. Model.</w:t>
      </w:r>
      <w:r>
        <w:rPr>
          <w:rFonts w:cs="Calibri"/>
          <w:lang w:val="en-US"/>
        </w:rPr>
        <w:t xml:space="preserve"> </w:t>
      </w:r>
      <w:r>
        <w:rPr>
          <w:rFonts w:cs="Calibri"/>
          <w:b/>
          <w:bCs/>
          <w:lang w:val="en-US"/>
        </w:rPr>
        <w:t>52,</w:t>
      </w:r>
      <w:r>
        <w:rPr>
          <w:rFonts w:cs="Calibri"/>
          <w:lang w:val="en-US"/>
        </w:rPr>
        <w:t xml:space="preserve"> 2864–2875 (2012).</w:t>
      </w:r>
    </w:p>
    <w:p>
      <w:pPr>
        <w:pStyle w:val="Bibliography"/>
        <w:jc w:val="both"/>
        <w:rPr>
          <w:rFonts w:ascii="Calibri" w:hAnsi="Calibri" w:cs="Calibri"/>
          <w:lang w:val="en-US"/>
        </w:rPr>
      </w:pPr>
      <w:r>
        <w:rPr>
          <w:rFonts w:cs="Calibri"/>
          <w:lang w:val="en-US"/>
        </w:rPr>
        <w:t>22.</w:t>
        <w:tab/>
        <w:t xml:space="preserve">Agrafiotis, D. K. Stochastic Algorithms for Maximizing Molecular Diversity. </w:t>
      </w:r>
      <w:r>
        <w:rPr>
          <w:rFonts w:cs="Calibri"/>
          <w:i/>
          <w:iCs/>
          <w:lang w:val="en-US"/>
        </w:rPr>
        <w:t>J. Chem. Inf. Comput. Sci.</w:t>
      </w:r>
      <w:r>
        <w:rPr>
          <w:rFonts w:cs="Calibri"/>
          <w:lang w:val="en-US"/>
        </w:rPr>
        <w:t xml:space="preserve"> </w:t>
      </w:r>
      <w:r>
        <w:rPr>
          <w:rFonts w:cs="Calibri"/>
          <w:b/>
          <w:bCs/>
          <w:lang w:val="en-US"/>
        </w:rPr>
        <w:t>37,</w:t>
      </w:r>
      <w:r>
        <w:rPr>
          <w:rFonts w:cs="Calibri"/>
          <w:lang w:val="en-US"/>
        </w:rPr>
        <w:t xml:space="preserve"> 841–851 (1997).</w:t>
      </w:r>
    </w:p>
    <w:p>
      <w:pPr>
        <w:pStyle w:val="Bibliography"/>
        <w:jc w:val="both"/>
        <w:rPr>
          <w:rFonts w:ascii="Calibri" w:hAnsi="Calibri" w:cs="Calibri"/>
          <w:lang w:val="en-US"/>
        </w:rPr>
      </w:pPr>
      <w:r>
        <w:rPr>
          <w:rFonts w:cs="Calibri"/>
          <w:lang w:val="en-US"/>
        </w:rPr>
        <w:t>23.</w:t>
        <w:tab/>
        <w:t xml:space="preserve">Halcrow, M. A. Structure:function relationships in molecular spin-crossover complexes. </w:t>
      </w:r>
      <w:r>
        <w:rPr>
          <w:rFonts w:cs="Calibri"/>
          <w:i/>
          <w:iCs/>
          <w:lang w:val="en-US"/>
        </w:rPr>
        <w:t>Chem. Soc. Rev.</w:t>
      </w:r>
      <w:r>
        <w:rPr>
          <w:rFonts w:cs="Calibri"/>
          <w:lang w:val="en-US"/>
        </w:rPr>
        <w:t xml:space="preserve"> </w:t>
      </w:r>
      <w:r>
        <w:rPr>
          <w:rFonts w:cs="Calibri"/>
          <w:b/>
          <w:bCs/>
          <w:lang w:val="en-US"/>
        </w:rPr>
        <w:t>40,</w:t>
      </w:r>
      <w:r>
        <w:rPr>
          <w:rFonts w:cs="Calibri"/>
          <w:lang w:val="en-US"/>
        </w:rPr>
        <w:t xml:space="preserve"> 4119–4142 (2011).</w:t>
      </w:r>
    </w:p>
    <w:p>
      <w:pPr>
        <w:pStyle w:val="Bibliography"/>
        <w:jc w:val="both"/>
        <w:rPr>
          <w:rFonts w:ascii="Calibri" w:hAnsi="Calibri" w:cs="Calibri"/>
          <w:lang w:val="en-US"/>
        </w:rPr>
      </w:pPr>
      <w:r>
        <w:rPr>
          <w:rFonts w:cs="Calibri"/>
          <w:lang w:val="en-US"/>
        </w:rPr>
        <w:t>24.</w:t>
        <w:tab/>
        <w:t xml:space="preserve">Létard, J.-F., Guionneau, P. &amp; Goux-Capes, L. Towards Spin Crossover Applications. in </w:t>
      </w:r>
      <w:r>
        <w:rPr>
          <w:rFonts w:cs="Calibri"/>
          <w:i/>
          <w:iCs/>
          <w:lang w:val="en-US"/>
        </w:rPr>
        <w:t>Spin Crossover in Transition Metal Compounds III</w:t>
      </w:r>
      <w:r>
        <w:rPr>
          <w:rFonts w:cs="Calibri"/>
          <w:lang w:val="en-US"/>
        </w:rPr>
        <w:t xml:space="preserve"> 221–249 (Springer, Berlin, Heidelberg, 2004).</w:t>
      </w:r>
    </w:p>
    <w:p>
      <w:pPr>
        <w:pStyle w:val="Bibliography"/>
        <w:jc w:val="both"/>
        <w:rPr>
          <w:rFonts w:ascii="Calibri" w:hAnsi="Calibri" w:cs="Calibri"/>
          <w:lang w:val="en-US"/>
        </w:rPr>
      </w:pPr>
      <w:r>
        <w:rPr>
          <w:rFonts w:cs="Calibri"/>
          <w:lang w:val="en-US"/>
        </w:rPr>
        <w:t>25.</w:t>
        <w:tab/>
        <w:t xml:space="preserve">Bignozzi, C. A. </w:t>
      </w:r>
      <w:r>
        <w:rPr>
          <w:rFonts w:cs="Calibri"/>
          <w:i/>
          <w:iCs/>
          <w:lang w:val="en-US"/>
        </w:rPr>
        <w:t>et al.</w:t>
      </w:r>
      <w:r>
        <w:rPr>
          <w:rFonts w:cs="Calibri"/>
          <w:lang w:val="en-US"/>
        </w:rPr>
        <w:t xml:space="preserve"> The role of transition metal complexes in dye sensitized solar devices. </w:t>
      </w:r>
      <w:r>
        <w:rPr>
          <w:rFonts w:cs="Calibri"/>
          <w:i/>
          <w:iCs/>
          <w:lang w:val="en-US"/>
        </w:rPr>
        <w:t>Coordination Chemistry Reviews</w:t>
      </w:r>
      <w:r>
        <w:rPr>
          <w:rFonts w:cs="Calibri"/>
          <w:lang w:val="en-US"/>
        </w:rPr>
        <w:t xml:space="preserve"> </w:t>
      </w:r>
      <w:r>
        <w:rPr>
          <w:rFonts w:cs="Calibri"/>
          <w:b/>
          <w:bCs/>
          <w:lang w:val="en-US"/>
        </w:rPr>
        <w:t>257,</w:t>
      </w:r>
      <w:r>
        <w:rPr>
          <w:rFonts w:cs="Calibri"/>
          <w:lang w:val="en-US"/>
        </w:rPr>
        <w:t xml:space="preserve"> 1472–1492 (2013).</w:t>
      </w:r>
    </w:p>
    <w:p>
      <w:pPr>
        <w:pStyle w:val="Bibliography"/>
        <w:jc w:val="both"/>
        <w:rPr>
          <w:rFonts w:ascii="Calibri" w:hAnsi="Calibri" w:cs="Calibri"/>
          <w:lang w:val="en-US"/>
        </w:rPr>
      </w:pPr>
      <w:r>
        <w:rPr>
          <w:rFonts w:cs="Calibri"/>
          <w:lang w:val="en-US"/>
        </w:rPr>
        <w:t>26.</w:t>
        <w:tab/>
        <w:t xml:space="preserve">Harvey, J. N., Poli, R. &amp; Smith, K. M. Understanding the reactivity of transition metal complexes involving multiple spin states. </w:t>
      </w:r>
      <w:r>
        <w:rPr>
          <w:rFonts w:cs="Calibri"/>
          <w:i/>
          <w:iCs/>
          <w:lang w:val="en-US"/>
        </w:rPr>
        <w:t>Coordination Chemistry Reviews</w:t>
      </w:r>
      <w:r>
        <w:rPr>
          <w:rFonts w:cs="Calibri"/>
          <w:lang w:val="en-US"/>
        </w:rPr>
        <w:t xml:space="preserve"> </w:t>
      </w:r>
      <w:r>
        <w:rPr>
          <w:rFonts w:cs="Calibri"/>
          <w:b/>
          <w:bCs/>
          <w:lang w:val="en-US"/>
        </w:rPr>
        <w:t>238–239,</w:t>
      </w:r>
      <w:r>
        <w:rPr>
          <w:rFonts w:cs="Calibri"/>
          <w:lang w:val="en-US"/>
        </w:rPr>
        <w:t xml:space="preserve"> 347–361 (2003).</w:t>
      </w:r>
    </w:p>
    <w:p>
      <w:pPr>
        <w:pStyle w:val="Bibliography"/>
        <w:jc w:val="both"/>
        <w:rPr>
          <w:rFonts w:ascii="Calibri" w:hAnsi="Calibri" w:cs="Calibri"/>
          <w:lang w:val="en-US"/>
        </w:rPr>
      </w:pPr>
      <w:r>
        <w:rPr>
          <w:rFonts w:cs="Calibri"/>
          <w:lang w:val="en-US"/>
        </w:rPr>
        <w:t>27.</w:t>
        <w:tab/>
        <w:t xml:space="preserve">Tsuchida, R. Absorption Spectra of Co-ordination Compounds. I. </w:t>
      </w:r>
      <w:r>
        <w:rPr>
          <w:rFonts w:cs="Calibri"/>
          <w:i/>
          <w:iCs/>
          <w:lang w:val="en-US"/>
        </w:rPr>
        <w:t>BCSJ</w:t>
      </w:r>
      <w:r>
        <w:rPr>
          <w:rFonts w:cs="Calibri"/>
          <w:lang w:val="en-US"/>
        </w:rPr>
        <w:t xml:space="preserve"> </w:t>
      </w:r>
      <w:r>
        <w:rPr>
          <w:rFonts w:cs="Calibri"/>
          <w:b/>
          <w:bCs/>
          <w:lang w:val="en-US"/>
        </w:rPr>
        <w:t>13,</w:t>
      </w:r>
      <w:r>
        <w:rPr>
          <w:rFonts w:cs="Calibri"/>
          <w:lang w:val="en-US"/>
        </w:rPr>
        <w:t xml:space="preserve"> 388–400 (1938).</w:t>
      </w:r>
    </w:p>
    <w:p>
      <w:pPr>
        <w:pStyle w:val="Bibliography"/>
        <w:jc w:val="both"/>
        <w:rPr>
          <w:rFonts w:ascii="Calibri" w:hAnsi="Calibri" w:cs="Calibri"/>
          <w:lang w:val="en-US"/>
        </w:rPr>
      </w:pPr>
      <w:r>
        <w:rPr>
          <w:rFonts w:cs="Calibri"/>
          <w:lang w:val="en-US"/>
        </w:rPr>
        <w:t>28.</w:t>
        <w:tab/>
        <w:t xml:space="preserve">Ballhausen, C. J. &amp; Weiner, M. A. Introduction to Ligand Field Theory. </w:t>
      </w:r>
      <w:r>
        <w:rPr>
          <w:rFonts w:cs="Calibri"/>
          <w:i/>
          <w:iCs/>
          <w:lang w:val="en-US"/>
        </w:rPr>
        <w:t>J. Electrochem. Soc.</w:t>
      </w:r>
      <w:r>
        <w:rPr>
          <w:rFonts w:cs="Calibri"/>
          <w:lang w:val="en-US"/>
        </w:rPr>
        <w:t xml:space="preserve"> </w:t>
      </w:r>
      <w:r>
        <w:rPr>
          <w:rFonts w:cs="Calibri"/>
          <w:b/>
          <w:bCs/>
          <w:lang w:val="en-US"/>
        </w:rPr>
        <w:t>110,</w:t>
      </w:r>
      <w:r>
        <w:rPr>
          <w:rFonts w:cs="Calibri"/>
          <w:lang w:val="en-US"/>
        </w:rPr>
        <w:t xml:space="preserve"> 97C-97C (1963).</w:t>
      </w:r>
    </w:p>
    <w:p>
      <w:pPr>
        <w:pStyle w:val="Bibliography"/>
        <w:jc w:val="both"/>
        <w:rPr>
          <w:rFonts w:ascii="Calibri" w:hAnsi="Calibri" w:cs="Calibri"/>
        </w:rPr>
      </w:pPr>
      <w:r>
        <w:rPr>
          <w:rFonts w:cs="Calibri"/>
          <w:lang w:val="en-US"/>
        </w:rPr>
        <w:t>29.</w:t>
        <w:tab/>
        <w:t xml:space="preserve">Griffith, J. S. &amp; Orgel, L. E. Ligand-field theory. </w:t>
      </w:r>
      <w:r>
        <w:rPr>
          <w:rFonts w:cs="Calibri"/>
          <w:i/>
          <w:iCs/>
        </w:rPr>
        <w:t>Q. Rev. Chem. Soc.</w:t>
      </w:r>
      <w:r>
        <w:rPr>
          <w:rFonts w:cs="Calibri"/>
        </w:rPr>
        <w:t xml:space="preserve"> </w:t>
      </w:r>
      <w:r>
        <w:rPr>
          <w:rFonts w:cs="Calibri"/>
          <w:b/>
          <w:bCs/>
        </w:rPr>
        <w:t>11,</w:t>
      </w:r>
      <w:r>
        <w:rPr>
          <w:rFonts w:cs="Calibri"/>
        </w:rPr>
        <w:t xml:space="preserve"> 381–393 (1957).</w:t>
      </w:r>
    </w:p>
    <w:p>
      <w:pPr>
        <w:pStyle w:val="Normal"/>
        <w:spacing w:lineRule="auto" w:line="480" w:before="0" w:after="160"/>
        <w:jc w:val="both"/>
        <w:rPr/>
      </w:pPr>
      <w:r>
        <w:rPr/>
      </w:r>
    </w:p>
    <w:sectPr>
      <w:type w:val="nextPage"/>
      <w:pgSz w:w="12240" w:h="15840"/>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de-CH"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de-CH"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de-CH" w:eastAsia="en-US" w:bidi="ar-SA"/>
    </w:rPr>
  </w:style>
  <w:style w:type="paragraph" w:styleId="Heading1">
    <w:name w:val="Heading 1"/>
    <w:basedOn w:val="Normal"/>
    <w:next w:val="Normal"/>
    <w:link w:val="Heading1Char"/>
    <w:uiPriority w:val="9"/>
    <w:qFormat/>
    <w:rsid w:val="00643fcc"/>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643fcc"/>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43fcc"/>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643fcc"/>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FootnoteTextChar" w:customStyle="1">
    <w:name w:val="Footnote Text Char"/>
    <w:basedOn w:val="DefaultParagraphFont"/>
    <w:link w:val="FootnoteText"/>
    <w:uiPriority w:val="99"/>
    <w:semiHidden/>
    <w:qFormat/>
    <w:rsid w:val="00643fcc"/>
    <w:rPr>
      <w:sz w:val="20"/>
      <w:szCs w:val="20"/>
    </w:rPr>
  </w:style>
  <w:style w:type="character" w:styleId="FootnoteCharacters">
    <w:name w:val="Footnote Characters"/>
    <w:basedOn w:val="DefaultParagraphFont"/>
    <w:uiPriority w:val="99"/>
    <w:semiHidden/>
    <w:unhideWhenUsed/>
    <w:qFormat/>
    <w:rsid w:val="00643fcc"/>
    <w:rPr>
      <w:vertAlign w:val="superscript"/>
    </w:rPr>
  </w:style>
  <w:style w:type="character" w:styleId="FootnoteAnchor">
    <w:name w:val="Footnote Anchor"/>
    <w:rPr>
      <w:vertAlign w:val="superscript"/>
    </w:rPr>
  </w:style>
  <w:style w:type="character" w:styleId="PlaceholderText">
    <w:name w:val="Placeholder Text"/>
    <w:basedOn w:val="DefaultParagraphFont"/>
    <w:uiPriority w:val="99"/>
    <w:semiHidden/>
    <w:qFormat/>
    <w:rsid w:val="008f379d"/>
    <w:rPr>
      <w:color w:val="808080"/>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link w:val="FootnoteTextChar"/>
    <w:uiPriority w:val="99"/>
    <w:semiHidden/>
    <w:unhideWhenUsed/>
    <w:rsid w:val="00643fcc"/>
    <w:pPr>
      <w:spacing w:lineRule="auto" w:line="240" w:before="0" w:after="0"/>
    </w:pPr>
    <w:rPr>
      <w:sz w:val="20"/>
      <w:szCs w:val="20"/>
    </w:rPr>
  </w:style>
  <w:style w:type="paragraph" w:styleId="Bibliography">
    <w:name w:val="Bibliography"/>
    <w:basedOn w:val="Normal"/>
    <w:next w:val="Normal"/>
    <w:uiPriority w:val="37"/>
    <w:unhideWhenUsed/>
    <w:qFormat/>
    <w:rsid w:val="00643fcc"/>
    <w:pPr>
      <w:tabs>
        <w:tab w:val="left" w:pos="264" w:leader="none"/>
      </w:tabs>
      <w:spacing w:lineRule="auto" w:line="480" w:before="0" w:after="0"/>
      <w:ind w:left="264" w:hanging="264"/>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LibreOffice/6.0.2.1$Linux_X86_64 LibreOffice_project/00m0$Build-1</Application>
  <Pages>6</Pages>
  <Words>1528</Words>
  <Characters>8322</Characters>
  <CharactersWithSpaces>9743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2018-06-18T05:00:00Z</dcterms:created>
  <dc:creator>Stefan Gugler</dc:creator>
  <dc:description/>
  <dc:language>en-US</dc:language>
  <cp:lastModifiedBy/>
  <dcterms:modified xsi:type="dcterms:W3CDTF">2018-06-19T13:45:25Z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zotero-version="5.0.51"&gt;&lt;session id="iZDRJU6i"/&gt;&lt;style id="http://www.zotero.org/styles/nature" hasBibliography="1" bibliographyStyleHasBeenSet="1"/&gt;&lt;prefs&gt;&lt;pref name="fieldType" value="Field"/&gt;&lt;/prefs&gt;&lt;/data&gt;</vt:lpwstr>
  </property>
</Properties>
</file>