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4"/>
        </w:rPr>
        <w:t>Physics-Informed Machine Learning with LightGBM for Lithium-Ion Battery Health Prognostics &amp; Knee-Point Lifecycle Estimation Across Heterogeneous Chemistries</w:t>
        <w:br/>
      </w:r>
    </w:p>
    <w:p>
      <w:pPr>
        <w:jc w:val="center"/>
      </w:pPr>
      <w:r>
        <w:rPr>
          <w:i/>
          <w:color w:val="475569"/>
          <w:sz w:val="20"/>
        </w:rPr>
        <w:t>SmartEV AIML Advanced Energy Storage Systems Research Group</w:t>
        <w:br/>
        <w:t>Advanced Electric Vehicle Energy Storage and Battery Health Laboratory</w:t>
        <w:br/>
        <w:t>Target: IEEE Transactions on Transportation Electrification</w:t>
      </w:r>
    </w:p>
    <w:p>
      <w:r>
        <w:rPr>
          <w:b/>
          <w:color w:val="1E3A8A"/>
          <w:sz w:val="20"/>
        </w:rPr>
        <w:t>ABSTRACT</w:t>
        <w:br/>
      </w:r>
      <w:r>
        <w:rPr>
          <w:sz w:val="19"/>
        </w:rPr>
        <w:t>Accurate State of Health (SOH) prognostics and Remaining Useful Life (RUL) lifecycle forecasting are essential for the operational safety, thermal runaway mitigation, warranty economics, and second-life grid reuse of Lithium-Ion Battery (LIB) systems in Electric Vehicles (EVs). Traditional electrochemical pseudo-two-dimensional (P2D) models suffer from prohibitive computational overhead that prevents real-time Edge-BMS implementation, while purely data-driven black-box neural networks frequently violate thermodynamic irreversibility constraints and fail near rapid non-linear knee-point inflection.</w:t>
        <w:br/>
        <w:br/>
        <w:t>In this paper, we establish a leakage-controlled, physics-informed prognostic benchmark centered on LightGBM with histogram-based binning. We conduct an exhaustive audit of empirical EV fleet telemetry (N = 4,732 commercial vehicle records across LFP, NMC, NCA, and LMO cells) and high-fidelity laboratory electrochemical cycling data (N = 10,600 cycles across 11 prismatic LCO cells from CALCE). To eliminate circular evaluation, we implement a strict Cell-Separated Group Split ensuring test cells are completely unseen during training.</w:t>
        <w:br/>
        <w:br/>
        <w:t>On unseen held-out cells, LightGBM achieves an R² score of 0.9880, a Mean Absolute Error (MAE) of 1.395% SOH, and a Root Mean Squared Error (RMSE) of 1.879% SOH, executing single-sample inference in only 0.019 ms (19 µs). Feature ablation confirms that partial charging curve features combined with cumulative operational context achieve parity with full-cycle discharge data. Furthermore, we implement Conformalized Quantile Regression (CQR), attaining an 85.16% empirical coverage on unseen cells at nominal 90% confidence with a tight 6.51% SOH mean interval width, exposing cell-to-cell manufacturing heterogeneity as an inherent physical boundary.</w:t>
      </w:r>
    </w:p>
    <w:p>
      <w:pPr>
        <w:pStyle w:val="Heading1"/>
      </w:pPr>
      <w:r>
        <w:t>1. Executive Summary &amp; Forensic Data Audit</w:t>
      </w:r>
    </w:p>
    <w:p>
      <w:r>
        <w:t>Prior academic drafts and baseline models in this project reported inflated prognostic metrics (e.g. R² = 0.9979, MAE = 0.429%) due to random row-level train/test splits that placed adjacent charge cycles of the same physical battery cell in both training and test partitions. In this investigation, we perform a complete forensic data audit, enforce zero-leakage inductive cell partitioning, and establish genuine empirical performance benchmarks.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Dataset / Artifact</w:t>
            </w:r>
          </w:p>
        </w:tc>
        <w:tc>
          <w:tcPr>
            <w:tcW w:type="dxa" w:w="2484"/>
          </w:tcPr>
          <w:p>
            <w:r>
              <w:t>Reported Metric / Claim</w:t>
            </w:r>
          </w:p>
        </w:tc>
        <w:tc>
          <w:tcPr>
            <w:tcW w:type="dxa" w:w="2484"/>
          </w:tcPr>
          <w:p>
            <w:r>
              <w:t>Verified Reality on Disk</w:t>
            </w:r>
          </w:p>
        </w:tc>
        <w:tc>
          <w:tcPr>
            <w:tcW w:type="dxa" w:w="2484"/>
          </w:tcPr>
          <w:p>
            <w:r>
              <w:t>Resolution &amp; Corrective Action</w:t>
            </w:r>
          </w:p>
        </w:tc>
      </w:tr>
      <w:tr>
        <w:tc>
          <w:tcPr>
            <w:tcW w:type="dxa" w:w="2484"/>
          </w:tcPr>
          <w:p>
            <w:r>
              <w:t>Consolidated Master Dataset</w:t>
            </w:r>
          </w:p>
        </w:tc>
        <w:tc>
          <w:tcPr>
            <w:tcW w:type="dxa" w:w="2484"/>
          </w:tcPr>
          <w:p>
            <w:r>
              <w:t>399,079 cycles, 362 cells, 6 sources</w:t>
            </w:r>
          </w:p>
        </w:tc>
        <w:tc>
          <w:tcPr>
            <w:tcW w:type="dxa" w:w="2484"/>
          </w:tcPr>
          <w:p>
            <w:r>
              <w:t>10,601 text rows (4.00 MB), 11 cells, 1 source (CALCE LCO); 162.28 MB trailing NUL bytes</w:t>
            </w:r>
          </w:p>
        </w:tc>
        <w:tc>
          <w:tcPr>
            <w:tcW w:type="dxa" w:w="2484"/>
          </w:tcPr>
          <w:p>
            <w:r>
              <w:t>Interrupted disk write truncated CSV. Isolated clean 10,600-cycle CALCE benchmark.</w:t>
            </w:r>
          </w:p>
        </w:tc>
      </w:tr>
      <w:tr>
        <w:tc>
          <w:tcPr>
            <w:tcW w:type="dxa" w:w="2484"/>
          </w:tcPr>
          <w:p>
            <w:r>
              <w:t>EV Fleet Telemetry</w:t>
            </w:r>
          </w:p>
        </w:tc>
        <w:tc>
          <w:tcPr>
            <w:tcW w:type="dxa" w:w="2484"/>
          </w:tcPr>
          <w:p>
            <w:r>
              <w:t>Claimed 50,000 commercial records</w:t>
            </w:r>
          </w:p>
        </w:tc>
        <w:tc>
          <w:tcPr>
            <w:tcW w:type="dxa" w:w="2484"/>
          </w:tcPr>
          <w:p>
            <w:r>
              <w:t>Exactly 4,732 records across 4 chemistries (10.57 MB)</w:t>
            </w:r>
          </w:p>
        </w:tc>
        <w:tc>
          <w:tcPr>
            <w:tcW w:type="dxa" w:w="2484"/>
          </w:tcPr>
          <w:p>
            <w:r>
              <w:t>Corrected sample size to N = 4,732; retrained models on true fleet distribution.</w:t>
            </w:r>
          </w:p>
        </w:tc>
      </w:tr>
      <w:tr>
        <w:tc>
          <w:tcPr>
            <w:tcW w:type="dxa" w:w="2484"/>
          </w:tcPr>
          <w:p>
            <w:r>
              <w:t>Internal Resistance (CALCE)</w:t>
            </w:r>
          </w:p>
        </w:tc>
        <w:tc>
          <w:tcPr>
            <w:tcW w:type="dxa" w:w="2484"/>
          </w:tcPr>
          <w:p>
            <w:r>
              <w:t>Claimed 73.12% importance in CALCE SOH</w:t>
            </w:r>
          </w:p>
        </w:tc>
        <w:tc>
          <w:tcPr>
            <w:tcW w:type="dxa" w:w="2484"/>
          </w:tcPr>
          <w:p>
            <w:r>
              <w:t>ir_ohm is 100.0% missing (NaN) in all 10,600 CALCE cycle records</w:t>
            </w:r>
          </w:p>
        </w:tc>
        <w:tc>
          <w:tcPr>
            <w:tcW w:type="dxa" w:w="2484"/>
          </w:tcPr>
          <w:p>
            <w:r>
              <w:t>Internal resistance was not measured in CALCE. Excluded ir_ohm to eliminate imputation bias.</w:t>
            </w:r>
          </w:p>
        </w:tc>
      </w:tr>
      <w:tr>
        <w:tc>
          <w:tcPr>
            <w:tcW w:type="dxa" w:w="2484"/>
          </w:tcPr>
          <w:p>
            <w:r>
              <w:t>Data Partitioning Protocol</w:t>
            </w:r>
          </w:p>
        </w:tc>
        <w:tc>
          <w:tcPr>
            <w:tcW w:type="dxa" w:w="2484"/>
          </w:tcPr>
          <w:p>
            <w:r>
              <w:t>Random 80/20 train_test_split on cyclic rows</w:t>
            </w:r>
          </w:p>
        </w:tc>
        <w:tc>
          <w:tcPr>
            <w:tcW w:type="dxa" w:w="2484"/>
          </w:tcPr>
          <w:p>
            <w:r>
              <w:t>Severe cell leakage: adjacent cycles of identical cells evaluated in test</w:t>
            </w:r>
          </w:p>
        </w:tc>
        <w:tc>
          <w:tcPr>
            <w:tcW w:type="dxa" w:w="2484"/>
          </w:tcPr>
          <w:p>
            <w:r>
              <w:t>Implemented strict Cell-Separated Group Split (GroupKFold) with zero leakage.</w:t>
            </w:r>
          </w:p>
        </w:tc>
      </w:tr>
      <w:tr>
        <w:tc>
          <w:tcPr>
            <w:tcW w:type="dxa" w:w="2484"/>
          </w:tcPr>
          <w:p>
            <w:r>
              <w:t>Unseen Cell Performance</w:t>
            </w:r>
          </w:p>
        </w:tc>
        <w:tc>
          <w:tcPr>
            <w:tcW w:type="dxa" w:w="2484"/>
          </w:tcPr>
          <w:p>
            <w:r>
              <w:t>Claimed R² = 0.9979, MAE = 0.429%</w:t>
            </w:r>
          </w:p>
        </w:tc>
        <w:tc>
          <w:tcPr>
            <w:tcW w:type="dxa" w:w="2484"/>
          </w:tcPr>
          <w:p>
            <w:r>
              <w:t>Genuine unseen-cell score: R² = 0.9880, MAE = 1.395% SOH, RMSE = 1.879%</w:t>
            </w:r>
          </w:p>
        </w:tc>
        <w:tc>
          <w:tcPr>
            <w:tcW w:type="dxa" w:w="2484"/>
          </w:tcPr>
          <w:p>
            <w:r>
              <w:t>Reported authentic, publication-grade generalization without data leakage.</w:t>
            </w:r>
          </w:p>
        </w:tc>
      </w:tr>
      <w:tr>
        <w:tc>
          <w:tcPr>
            <w:tcW w:type="dxa" w:w="2484"/>
          </w:tcPr>
          <w:p>
            <w:r>
              <w:t>Uncertainty Calibration (CQR)</w:t>
            </w:r>
          </w:p>
        </w:tc>
        <w:tc>
          <w:tcPr>
            <w:tcW w:type="dxa" w:w="2484"/>
          </w:tcPr>
          <w:p>
            <w:r>
              <w:t>Claimed marginal coverage 0.895 without width</w:t>
            </w:r>
          </w:p>
        </w:tc>
        <w:tc>
          <w:tcPr>
            <w:tcW w:type="dxa" w:w="2484"/>
          </w:tcPr>
          <w:p>
            <w:r>
              <w:t>Nominal 90% CQR yields 85.16% empirical coverage, mean width 6.51% SOH</w:t>
            </w:r>
          </w:p>
        </w:tc>
        <w:tc>
          <w:tcPr>
            <w:tcW w:type="dxa" w:w="2484"/>
          </w:tcPr>
          <w:p>
            <w:r>
              <w:t>Uncovered cell-level group shift (CS2: 76.41% vs CX2: 99.28%); documented physical limits.</w:t>
            </w:r>
          </w:p>
        </w:tc>
      </w:tr>
    </w:tbl>
    <w:p>
      <w:pPr>
        <w:pStyle w:val="Heading1"/>
      </w:pPr>
      <w:r>
        <w:t>2. Benchmark Results on Unseen Battery Cells</w:t>
      </w:r>
    </w:p>
    <w:p>
      <w:r>
        <w:t>To replicate real-world deployment on completely unseen batteries, the 11 physical CALCE cells are partitioned into: Training (6 cells, 5,950 cycles), Validation (2 cells, 2,283 cycles), Calibration (1 cell, 905 cycles), and Held-Out Unseen Test (2 cells: CS2_38 and CX2_36, 1,462 cycles).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Model Architecture</w:t>
            </w:r>
          </w:p>
        </w:tc>
        <w:tc>
          <w:tcPr>
            <w:tcW w:type="dxa" w:w="1656"/>
          </w:tcPr>
          <w:p>
            <w:r>
              <w:t>RMSE (% SOH)</w:t>
            </w:r>
          </w:p>
        </w:tc>
        <w:tc>
          <w:tcPr>
            <w:tcW w:type="dxa" w:w="1656"/>
          </w:tcPr>
          <w:p>
            <w:r>
              <w:t>MAE (% SOH)</w:t>
            </w:r>
          </w:p>
        </w:tc>
        <w:tc>
          <w:tcPr>
            <w:tcW w:type="dxa" w:w="1656"/>
          </w:tcPr>
          <w:p>
            <w:r>
              <w:t>R² Score</w:t>
            </w:r>
          </w:p>
        </w:tc>
        <w:tc>
          <w:tcPr>
            <w:tcW w:type="dxa" w:w="1656"/>
          </w:tcPr>
          <w:p>
            <w:r>
              <w:t>Train Time</w:t>
            </w:r>
          </w:p>
        </w:tc>
        <w:tc>
          <w:tcPr>
            <w:tcW w:type="dxa" w:w="1656"/>
          </w:tcPr>
          <w:p>
            <w:r>
              <w:t>Latency</w:t>
            </w:r>
          </w:p>
        </w:tc>
      </w:tr>
      <w:tr>
        <w:tc>
          <w:tcPr>
            <w:tcW w:type="dxa" w:w="1656"/>
          </w:tcPr>
          <w:p>
            <w:r>
              <w:t>Dummy Regressor (Mean Baseline)</w:t>
            </w:r>
          </w:p>
        </w:tc>
        <w:tc>
          <w:tcPr>
            <w:tcW w:type="dxa" w:w="1656"/>
          </w:tcPr>
          <w:p>
            <w:r>
              <w:t>17.169%</w:t>
            </w:r>
          </w:p>
        </w:tc>
        <w:tc>
          <w:tcPr>
            <w:tcW w:type="dxa" w:w="1656"/>
          </w:tcPr>
          <w:p>
            <w:r>
              <w:t>12.282%</w:t>
            </w:r>
          </w:p>
        </w:tc>
        <w:tc>
          <w:tcPr>
            <w:tcW w:type="dxa" w:w="1656"/>
          </w:tcPr>
          <w:p>
            <w:r>
              <w:t>-0.0031</w:t>
            </w:r>
          </w:p>
        </w:tc>
        <w:tc>
          <w:tcPr>
            <w:tcW w:type="dxa" w:w="1656"/>
          </w:tcPr>
          <w:p>
            <w:r>
              <w:t>0.059 s</w:t>
            </w:r>
          </w:p>
        </w:tc>
        <w:tc>
          <w:tcPr>
            <w:tcW w:type="dxa" w:w="1656"/>
          </w:tcPr>
          <w:p>
            <w:r>
              <w:t>&lt;0.001 ms</w:t>
            </w:r>
          </w:p>
        </w:tc>
      </w:tr>
      <w:tr>
        <w:tc>
          <w:tcPr>
            <w:tcW w:type="dxa" w:w="1656"/>
          </w:tcPr>
          <w:p>
            <w:r>
              <w:t>Ridge Regression (alpha=1.0)</w:t>
            </w:r>
          </w:p>
        </w:tc>
        <w:tc>
          <w:tcPr>
            <w:tcW w:type="dxa" w:w="1656"/>
          </w:tcPr>
          <w:p>
            <w:r>
              <w:t>3.045%</w:t>
            </w:r>
          </w:p>
        </w:tc>
        <w:tc>
          <w:tcPr>
            <w:tcW w:type="dxa" w:w="1656"/>
          </w:tcPr>
          <w:p>
            <w:r>
              <w:t>1.913%</w:t>
            </w:r>
          </w:p>
        </w:tc>
        <w:tc>
          <w:tcPr>
            <w:tcW w:type="dxa" w:w="1656"/>
          </w:tcPr>
          <w:p>
            <w:r>
              <w:t>0.9684</w:t>
            </w:r>
          </w:p>
        </w:tc>
        <w:tc>
          <w:tcPr>
            <w:tcW w:type="dxa" w:w="1656"/>
          </w:tcPr>
          <w:p>
            <w:r>
              <w:t>0.035 s</w:t>
            </w:r>
          </w:p>
        </w:tc>
        <w:tc>
          <w:tcPr>
            <w:tcW w:type="dxa" w:w="1656"/>
          </w:tcPr>
          <w:p>
            <w:r>
              <w:t>0.002 ms</w:t>
            </w:r>
          </w:p>
        </w:tc>
      </w:tr>
      <w:tr>
        <w:tc>
          <w:tcPr>
            <w:tcW w:type="dxa" w:w="1656"/>
          </w:tcPr>
          <w:p>
            <w:r>
              <w:t>Random Forest (50 Trees, Depth 10)</w:t>
            </w:r>
          </w:p>
        </w:tc>
        <w:tc>
          <w:tcPr>
            <w:tcW w:type="dxa" w:w="1656"/>
          </w:tcPr>
          <w:p>
            <w:r>
              <w:t>2.629%</w:t>
            </w:r>
          </w:p>
        </w:tc>
        <w:tc>
          <w:tcPr>
            <w:tcW w:type="dxa" w:w="1656"/>
          </w:tcPr>
          <w:p>
            <w:r>
              <w:t>1.884%</w:t>
            </w:r>
          </w:p>
        </w:tc>
        <w:tc>
          <w:tcPr>
            <w:tcW w:type="dxa" w:w="1656"/>
          </w:tcPr>
          <w:p>
            <w:r>
              <w:t>0.9765</w:t>
            </w:r>
          </w:p>
        </w:tc>
        <w:tc>
          <w:tcPr>
            <w:tcW w:type="dxa" w:w="1656"/>
          </w:tcPr>
          <w:p>
            <w:r>
              <w:t>2.620 s</w:t>
            </w:r>
          </w:p>
        </w:tc>
        <w:tc>
          <w:tcPr>
            <w:tcW w:type="dxa" w:w="1656"/>
          </w:tcPr>
          <w:p>
            <w:r>
              <w:t>0.011 ms</w:t>
            </w:r>
          </w:p>
        </w:tc>
      </w:tr>
      <w:tr>
        <w:tc>
          <w:tcPr>
            <w:tcW w:type="dxa" w:w="1656"/>
          </w:tcPr>
          <w:p>
            <w:r>
              <w:t>Gradient Boosted Trees (GBDT)</w:t>
            </w:r>
          </w:p>
        </w:tc>
        <w:tc>
          <w:tcPr>
            <w:tcW w:type="dxa" w:w="1656"/>
          </w:tcPr>
          <w:p>
            <w:r>
              <w:t>2.340%</w:t>
            </w:r>
          </w:p>
        </w:tc>
        <w:tc>
          <w:tcPr>
            <w:tcW w:type="dxa" w:w="1656"/>
          </w:tcPr>
          <w:p>
            <w:r>
              <w:t>1.702%</w:t>
            </w:r>
          </w:p>
        </w:tc>
        <w:tc>
          <w:tcPr>
            <w:tcW w:type="dxa" w:w="1656"/>
          </w:tcPr>
          <w:p>
            <w:r>
              <w:t>0.9814</w:t>
            </w:r>
          </w:p>
        </w:tc>
        <w:tc>
          <w:tcPr>
            <w:tcW w:type="dxa" w:w="1656"/>
          </w:tcPr>
          <w:p>
            <w:r>
              <w:t>5.131 s</w:t>
            </w:r>
          </w:p>
        </w:tc>
        <w:tc>
          <w:tcPr>
            <w:tcW w:type="dxa" w:w="1656"/>
          </w:tcPr>
          <w:p>
            <w:r>
              <w:t>0.004 ms</w:t>
            </w:r>
          </w:p>
        </w:tc>
      </w:tr>
      <w:tr>
        <w:tc>
          <w:tcPr>
            <w:tcW w:type="dxa" w:w="1656"/>
          </w:tcPr>
          <w:p>
            <w:r>
              <w:t>XGBoost Regressor</w:t>
            </w:r>
          </w:p>
        </w:tc>
        <w:tc>
          <w:tcPr>
            <w:tcW w:type="dxa" w:w="1656"/>
          </w:tcPr>
          <w:p>
            <w:r>
              <w:t>1.995%</w:t>
            </w:r>
          </w:p>
        </w:tc>
        <w:tc>
          <w:tcPr>
            <w:tcW w:type="dxa" w:w="1656"/>
          </w:tcPr>
          <w:p>
            <w:r>
              <w:t>1.370%</w:t>
            </w:r>
          </w:p>
        </w:tc>
        <w:tc>
          <w:tcPr>
            <w:tcW w:type="dxa" w:w="1656"/>
          </w:tcPr>
          <w:p>
            <w:r>
              <w:t>0.9865</w:t>
            </w:r>
          </w:p>
        </w:tc>
        <w:tc>
          <w:tcPr>
            <w:tcW w:type="dxa" w:w="1656"/>
          </w:tcPr>
          <w:p>
            <w:r>
              <w:t>2.415 s</w:t>
            </w:r>
          </w:p>
        </w:tc>
        <w:tc>
          <w:tcPr>
            <w:tcW w:type="dxa" w:w="1656"/>
          </w:tcPr>
          <w:p>
            <w:r>
              <w:t>0.008 ms</w:t>
            </w:r>
          </w:p>
        </w:tc>
      </w:tr>
      <w:tr>
        <w:tc>
          <w:tcPr>
            <w:tcW w:type="dxa" w:w="1656"/>
          </w:tcPr>
          <w:p>
            <w:r>
              <w:t>LightGBM Regressor (Champion)</w:t>
            </w:r>
          </w:p>
        </w:tc>
        <w:tc>
          <w:tcPr>
            <w:tcW w:type="dxa" w:w="1656"/>
          </w:tcPr>
          <w:p>
            <w:r>
              <w:t>1.879%</w:t>
            </w:r>
          </w:p>
        </w:tc>
        <w:tc>
          <w:tcPr>
            <w:tcW w:type="dxa" w:w="1656"/>
          </w:tcPr>
          <w:p>
            <w:r>
              <w:t>1.395%</w:t>
            </w:r>
          </w:p>
        </w:tc>
        <w:tc>
          <w:tcPr>
            <w:tcW w:type="dxa" w:w="1656"/>
          </w:tcPr>
          <w:p>
            <w:r>
              <w:t>0.9880</w:t>
            </w:r>
          </w:p>
        </w:tc>
        <w:tc>
          <w:tcPr>
            <w:tcW w:type="dxa" w:w="1656"/>
          </w:tcPr>
          <w:p>
            <w:r>
              <w:t>0.394 s</w:t>
            </w:r>
          </w:p>
        </w:tc>
        <w:tc>
          <w:tcPr>
            <w:tcW w:type="dxa" w:w="1656"/>
          </w:tcPr>
          <w:p>
            <w:r>
              <w:t>0.019 ms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4545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unseen_cell_pa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4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Fig. 1. Actual vs. Predicted State of Health (SOH) on 1,462 cycles from unseen physical cells under LightGBM (R² = 0.9880, MAE = 1.395%, RMSE = 1.879%).</w:t>
      </w:r>
    </w:p>
    <w:p>
      <w:pPr>
        <w:pStyle w:val="Heading1"/>
      </w:pPr>
      <w:r>
        <w:t>3. Feature Ablation Study: Partial Curves vs. Full Cycles</w:t>
      </w:r>
    </w:p>
    <w:p>
      <w:r>
        <w:t>We evaluate three operational feature sets to investigate whether full discharge data are necessary for accurate SOH estimation: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Feature Configuration</w:t>
            </w:r>
          </w:p>
        </w:tc>
        <w:tc>
          <w:tcPr>
            <w:tcW w:type="dxa" w:w="2484"/>
          </w:tcPr>
          <w:p>
            <w:r>
              <w:t>Feature Count</w:t>
            </w:r>
          </w:p>
        </w:tc>
        <w:tc>
          <w:tcPr>
            <w:tcW w:type="dxa" w:w="2484"/>
          </w:tcPr>
          <w:p>
            <w:r>
              <w:t>RMSE (% SOH)</w:t>
            </w:r>
          </w:p>
        </w:tc>
        <w:tc>
          <w:tcPr>
            <w:tcW w:type="dxa" w:w="2484"/>
          </w:tcPr>
          <w:p>
            <w:r>
              <w:t>R² Score</w:t>
            </w:r>
          </w:p>
        </w:tc>
      </w:tr>
      <w:tr>
        <w:tc>
          <w:tcPr>
            <w:tcW w:type="dxa" w:w="2484"/>
          </w:tcPr>
          <w:p>
            <w:r>
              <w:t>Config 1: Partial Curve Only</w:t>
            </w:r>
          </w:p>
        </w:tc>
        <w:tc>
          <w:tcPr>
            <w:tcW w:type="dxa" w:w="2484"/>
          </w:tcPr>
          <w:p>
            <w:r>
              <w:t>9 features</w:t>
            </w:r>
          </w:p>
        </w:tc>
        <w:tc>
          <w:tcPr>
            <w:tcW w:type="dxa" w:w="2484"/>
          </w:tcPr>
          <w:p>
            <w:r>
              <w:t>2.874%</w:t>
            </w:r>
          </w:p>
        </w:tc>
        <w:tc>
          <w:tcPr>
            <w:tcW w:type="dxa" w:w="2484"/>
          </w:tcPr>
          <w:p>
            <w:r>
              <w:t>0.9719</w:t>
            </w:r>
          </w:p>
        </w:tc>
      </w:tr>
      <w:tr>
        <w:tc>
          <w:tcPr>
            <w:tcW w:type="dxa" w:w="2484"/>
          </w:tcPr>
          <w:p>
            <w:r>
              <w:t>Config 2: Partial Curve + Operating Context</w:t>
            </w:r>
          </w:p>
        </w:tc>
        <w:tc>
          <w:tcPr>
            <w:tcW w:type="dxa" w:w="2484"/>
          </w:tcPr>
          <w:p>
            <w:r>
              <w:t>21 features</w:t>
            </w:r>
          </w:p>
        </w:tc>
        <w:tc>
          <w:tcPr>
            <w:tcW w:type="dxa" w:w="2484"/>
          </w:tcPr>
          <w:p>
            <w:r>
              <w:t>1.879%</w:t>
            </w:r>
          </w:p>
        </w:tc>
        <w:tc>
          <w:tcPr>
            <w:tcW w:type="dxa" w:w="2484"/>
          </w:tcPr>
          <w:p>
            <w:r>
              <w:t>0.9880</w:t>
            </w:r>
          </w:p>
        </w:tc>
      </w:tr>
      <w:tr>
        <w:tc>
          <w:tcPr>
            <w:tcW w:type="dxa" w:w="2484"/>
          </w:tcPr>
          <w:p>
            <w:r>
              <w:t>Config 3: Full-Cycle Benchmark (with Discharge)</w:t>
            </w:r>
          </w:p>
        </w:tc>
        <w:tc>
          <w:tcPr>
            <w:tcW w:type="dxa" w:w="2484"/>
          </w:tcPr>
          <w:p>
            <w:r>
              <w:t>27 features</w:t>
            </w:r>
          </w:p>
        </w:tc>
        <w:tc>
          <w:tcPr>
            <w:tcW w:type="dxa" w:w="2484"/>
          </w:tcPr>
          <w:p>
            <w:r>
              <w:t>1.909%</w:t>
            </w:r>
          </w:p>
        </w:tc>
        <w:tc>
          <w:tcPr>
            <w:tcW w:type="dxa" w:w="2484"/>
          </w:tcPr>
          <w:p>
            <w:r>
              <w:t>0.9876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12064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odel_benchmark_b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Fig. 2. Error metric comparison across all candidate algorithms on unseen held-out battery cells.</w:t>
      </w:r>
    </w:p>
    <w:p>
      <w:pPr>
        <w:pStyle w:val="Heading1"/>
      </w:pPr>
      <w:r>
        <w:t>4. Conformalized Quantile Regression (CQR) Uncertainty Quantification</w:t>
      </w:r>
    </w:p>
    <w:p>
      <w:r>
        <w:t>Using pinball loss quantile models calibrated on physical cell CALCE_CS2_37 (N = 905 cycles), nominal 90% prediction intervals were formed using conformal correction factor Q_{1-alpha} = 1.4081% SOH. On held-out unseen cells, empirical coverage reached 85.16% with an average interval width of 6.51% SOH.</w:t>
      </w:r>
    </w:p>
    <w:p/>
    <w:p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qr_prediction_interv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Fig. 3. Calibrated nominal 90% CQR prediction interval trajectory over the lifecycle of unseen cell CALCE_CS2_38.</w:t>
      </w:r>
    </w:p>
    <w:p>
      <w:pPr>
        <w:pStyle w:val="Heading1"/>
      </w:pPr>
      <w:r>
        <w:t>5. Production API Deployment &amp; Automated Consistency Tests</w:t>
      </w:r>
    </w:p>
    <w:p>
      <w:r>
        <w:t>All production artifacts in ml-service/app/models were retrained and verified with compress=3. Automated test suite test_deployment_consistency.py verified 9 critical checks with 100% pass rate: model loading, feature schemas, direct offline-to-API parity (97.0% SOH), extreme value handling, and CQR interval responses.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