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shd w:val="clear" w:color="auto" w:fill="003B8E"/>
      </w:pPr>
      <w:r>
        <w:rPr>
          <w:rFonts w:ascii="Calibri" w:hAnsi="Calibri"/>
          <w:b/>
          <w:color w:val="FFFFFF"/>
          <w:sz w:val="40"/>
        </w:rPr>
        <w:t>Color Space Gamut Adjustment</w:t>
      </w:r>
    </w:p>
    <w:p>
      <w:pPr>
        <w:spacing w:before="0" w:after="80"/>
        <w:jc w:val="center"/>
        <w:shd w:val="clear" w:color="auto" w:fill="003B8E"/>
      </w:pPr>
      <w:r>
        <w:rPr>
          <w:rFonts w:ascii="Calibri" w:hAnsi="Calibri"/>
          <w:color w:val="AAC8FF"/>
          <w:sz w:val="20"/>
        </w:rPr>
        <w:t>Understanding Cyan–Red &amp; Magenta–Green Sliders  ·  VPL-VW385ES</w:t>
      </w:r>
    </w:p>
    <w:p>
      <w:pPr>
        <w:pBdr>
          <w:bottom w:val="single" w:sz="8" w:space="1" w:color="1A6FD8"/>
        </w:pBdr>
        <w:spacing w:before="0" w:after="200"/>
      </w:pPr>
    </w:p>
    <w:p>
      <w:pPr>
        <w:spacing w:before="120" w:after="120"/>
        <w:jc w:val="left"/>
      </w:pPr>
      <w:r>
        <w:rPr>
          <w:rFonts w:ascii="Calibri" w:hAnsi="Calibri"/>
          <w:b/>
          <w:color w:val="003B8E"/>
          <w:sz w:val="40"/>
        </w:rPr>
        <w:t>1  The CIE Chromaticity Diagram</w:t>
      </w:r>
    </w:p>
    <w:p>
      <w:pPr>
        <w:spacing w:before="40" w:after="120"/>
      </w:pPr>
      <w:r>
        <w:rPr>
          <w:rFonts w:ascii="Calibri" w:hAnsi="Calibri"/>
          <w:b w:val="0"/>
          <w:i w:val="0"/>
          <w:color w:val="444444"/>
          <w:sz w:val="21"/>
        </w:rPr>
        <w:t>To understand these sliders, you first need a mental model of how colors are mapped in the CIE chromaticity diagram — the universal map of all visible colors.</w:t>
      </w:r>
    </w:p>
    <w:p>
      <w:pPr>
        <w:spacing w:before="40" w:after="120"/>
      </w:pPr>
      <w:r>
        <w:rPr>
          <w:rFonts w:ascii="Calibri" w:hAnsi="Calibri"/>
          <w:b w:val="0"/>
          <w:i w:val="0"/>
          <w:color w:val="444444"/>
          <w:sz w:val="21"/>
        </w:rPr>
        <w:t>Every color a human eye can see has a precise (x, y) coordinate on this map. The map is shaped like a horseshoe, with saturated spectral colors along the curved edge and white near the center. A display's color gamut is represented as a triangle whose three corners are its Red, Green, and Blue primaries. Every color the display can produce sits somewhere inside that triangle.</w:t>
      </w:r>
    </w:p>
    <w:p>
      <w:pPr>
        <w:spacing w:before="0" w:after="0"/>
        <w:ind w:left="720"/>
        <w:shd w:val="clear" w:color="auto" w:fill="F4F4F4"/>
      </w:pPr>
      <w:r>
        <w:rPr>
          <w:rFonts w:ascii="Courier New" w:hAnsi="Courier New"/>
          <w:color w:val="444444"/>
          <w:sz w:val="20"/>
        </w:rPr>
        <w:t xml:space="preserve">                  G (Green primary)</w:t>
      </w:r>
    </w:p>
    <w:p>
      <w:pPr>
        <w:spacing w:before="0" w:after="0"/>
        <w:ind w:left="720"/>
        <w:shd w:val="clear" w:color="auto" w:fill="F4F4F4"/>
      </w:pPr>
      <w:r>
        <w:rPr>
          <w:rFonts w:ascii="Courier New" w:hAnsi="Courier New"/>
          <w:color w:val="444444"/>
          <w:sz w:val="20"/>
        </w:rPr>
        <w:t xml:space="preserve">                 / \</w:t>
      </w:r>
    </w:p>
    <w:p>
      <w:pPr>
        <w:spacing w:before="0" w:after="0"/>
        <w:ind w:left="720"/>
        <w:shd w:val="clear" w:color="auto" w:fill="F4F4F4"/>
      </w:pPr>
      <w:r>
        <w:rPr>
          <w:rFonts w:ascii="Courier New" w:hAnsi="Courier New"/>
          <w:color w:val="444444"/>
          <w:sz w:val="20"/>
        </w:rPr>
        <w:t xml:space="preserve">                /   \</w:t>
      </w:r>
    </w:p>
    <w:p>
      <w:pPr>
        <w:spacing w:before="0" w:after="0"/>
        <w:ind w:left="720"/>
        <w:shd w:val="clear" w:color="auto" w:fill="F4F4F4"/>
      </w:pPr>
      <w:r>
        <w:rPr>
          <w:rFonts w:ascii="Courier New" w:hAnsi="Courier New"/>
          <w:color w:val="444444"/>
          <w:sz w:val="20"/>
        </w:rPr>
        <w:t xml:space="preserve">               /  W  \      W = White point (e.g. D65)</w:t>
      </w:r>
    </w:p>
    <w:p>
      <w:pPr>
        <w:spacing w:before="0" w:after="0"/>
        <w:ind w:left="720"/>
        <w:shd w:val="clear" w:color="auto" w:fill="F4F4F4"/>
      </w:pPr>
      <w:r>
        <w:rPr>
          <w:rFonts w:ascii="Courier New" w:hAnsi="Courier New"/>
          <w:color w:val="444444"/>
          <w:sz w:val="20"/>
        </w:rPr>
        <w:t xml:space="preserve">              /       \</w:t>
      </w:r>
    </w:p>
    <w:p>
      <w:pPr>
        <w:spacing w:before="0" w:after="0"/>
        <w:ind w:left="720"/>
        <w:shd w:val="clear" w:color="auto" w:fill="F4F4F4"/>
      </w:pPr>
      <w:r>
        <w:rPr>
          <w:rFonts w:ascii="Courier New" w:hAnsi="Courier New"/>
          <w:color w:val="444444"/>
          <w:sz w:val="20"/>
        </w:rPr>
        <w:t xml:space="preserve">             B─────────R</w:t>
      </w:r>
    </w:p>
    <w:p>
      <w:pPr>
        <w:spacing w:before="0" w:after="0"/>
        <w:ind w:left="720"/>
        <w:shd w:val="clear" w:color="auto" w:fill="F4F4F4"/>
      </w:pPr>
      <w:r>
        <w:rPr>
          <w:rFonts w:ascii="Courier New" w:hAnsi="Courier New"/>
          <w:color w:val="444444"/>
          <w:sz w:val="20"/>
        </w:rPr>
        <w:t xml:space="preserve">     (Blue primary)   (Red primary)</w:t>
      </w:r>
    </w:p>
    <w:p>
      <w:pPr>
        <w:spacing w:before="0" w:after="160"/>
      </w:pPr>
    </w:p>
    <w:p>
      <w:pPr>
        <w:spacing w:before="40" w:after="120"/>
      </w:pPr>
      <w:r>
        <w:rPr>
          <w:rFonts w:ascii="Calibri" w:hAnsi="Calibri"/>
          <w:b w:val="0"/>
          <w:i w:val="0"/>
          <w:color w:val="444444"/>
          <w:sz w:val="21"/>
        </w:rPr>
        <w:t>The shape of the triangle defines which colors are available. The position of the white point W inside the triangle determines the color temperature. Both of these are set by the Color Space mode you choose (BT.709, BT.2020, etc.).</w:t>
      </w:r>
    </w:p>
    <w:p>
      <w:pPr>
        <w:spacing w:before="360" w:after="120"/>
        <w:jc w:val="left"/>
      </w:pPr>
      <w:r>
        <w:rPr>
          <w:rFonts w:ascii="Calibri" w:hAnsi="Calibri"/>
          <w:b/>
          <w:color w:val="003B8E"/>
          <w:sz w:val="40"/>
        </w:rPr>
        <w:t>2  What Cyan–Red and Magenta–Green Actually Do</w:t>
      </w:r>
    </w:p>
    <w:p>
      <w:pPr>
        <w:spacing w:before="40" w:after="120"/>
      </w:pPr>
      <w:r>
        <w:rPr>
          <w:rFonts w:ascii="Calibri" w:hAnsi="Calibri"/>
          <w:b w:val="0"/>
          <w:i w:val="0"/>
          <w:color w:val="444444"/>
          <w:sz w:val="21"/>
        </w:rPr>
        <w:t>These two sliders move the entire gamut triangle as a single unit across the chromaticity map — all three primaries (R, G, B) shift together in the same direction, by the same amount. The shape and size of the triangle does not change.</w:t>
      </w:r>
    </w:p>
    <w:p>
      <w:pPr>
        <w:spacing w:before="200" w:after="80"/>
        <w:jc w:val="left"/>
      </w:pPr>
      <w:r>
        <w:rPr>
          <w:rFonts w:ascii="Calibri" w:hAnsi="Calibri"/>
          <w:b/>
          <w:color w:val="006DC6"/>
          <w:sz w:val="28"/>
        </w:rPr>
        <w:t>The Two Axes</w:t>
      </w:r>
    </w:p>
    <w:p>
      <w:pPr>
        <w:spacing w:before="40" w:after="120"/>
      </w:pPr>
      <w:r>
        <w:rPr>
          <w:rFonts w:ascii="Calibri" w:hAnsi="Calibri"/>
          <w:b w:val="0"/>
          <w:i w:val="0"/>
          <w:color w:val="444444"/>
          <w:sz w:val="21"/>
        </w:rPr>
        <w:t>The chromaticity map has two dimensions, and these sliders each control one of them: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320"/>
            <w:shd w:val="clear" w:color="auto" w:fill="FFF0F0"/>
            <w:tcBorders>
              <w:top w:val="single" w:sz="8" w:space="0" w:color="C43030"/>
              <w:left w:val="single" w:sz="4" w:space="0" w:color="C43030"/>
              <w:bottom w:val="single" w:sz="4" w:space="0" w:color="C43030"/>
              <w:right w:val="single" w:sz="4" w:space="0" w:color="C43030"/>
            </w:tcBorders>
          </w:tcPr>
          <w:p>
            <w:pPr>
              <w:spacing w:before="120"/>
            </w:pPr>
            <w:r>
              <w:rPr>
                <w:rFonts w:ascii="Calibri" w:hAnsi="Calibri"/>
                <w:b/>
                <w:color w:val="C43030"/>
                <w:sz w:val="22"/>
              </w:rPr>
              <w:t>Cyan – Red</w:t>
            </w:r>
          </w:p>
          <w:p>
            <w:pPr>
              <w:spacing w:before="80" w:after="40"/>
            </w:pPr>
            <w:r>
              <w:rPr>
                <w:rFonts w:ascii="Calibri" w:hAnsi="Calibri"/>
                <w:i/>
                <w:color w:val="444444"/>
                <w:sz w:val="18"/>
              </w:rPr>
              <w:t>Negative (–) → toward Cyan</w:t>
              <w:br/>
              <w:t>Positive (+) → toward Red</w:t>
            </w:r>
          </w:p>
          <w:p>
            <w:pPr>
              <w:spacing w:before="80" w:after="120"/>
            </w:pPr>
            <w:r>
              <w:rPr>
                <w:rFonts w:ascii="Calibri" w:hAnsi="Calibri"/>
                <w:color w:val="444444"/>
                <w:sz w:val="19"/>
              </w:rPr>
              <w:t>Shifts the whole triangle horizontally. Pushing positive makes all colors warmer/redder overall; pushing negative makes them cooler/more cyan.</w:t>
            </w:r>
          </w:p>
        </w:tc>
        <w:tc>
          <w:tcPr>
            <w:tcW w:type="dxa" w:w="4320"/>
            <w:shd w:val="clear" w:color="auto" w:fill="F0FFF4"/>
            <w:tcBorders>
              <w:top w:val="single" w:sz="8" w:space="0" w:color="1A7A42"/>
              <w:left w:val="single" w:sz="4" w:space="0" w:color="1A7A42"/>
              <w:bottom w:val="single" w:sz="4" w:space="0" w:color="1A7A42"/>
              <w:right w:val="single" w:sz="4" w:space="0" w:color="1A7A42"/>
            </w:tcBorders>
          </w:tcPr>
          <w:p>
            <w:pPr>
              <w:spacing w:before="120"/>
            </w:pPr>
            <w:r>
              <w:rPr>
                <w:rFonts w:ascii="Calibri" w:hAnsi="Calibri"/>
                <w:b/>
                <w:color w:val="1A7A42"/>
                <w:sz w:val="22"/>
              </w:rPr>
              <w:t>Magenta – Green</w:t>
            </w:r>
          </w:p>
          <w:p>
            <w:pPr>
              <w:spacing w:before="80" w:after="40"/>
            </w:pPr>
            <w:r>
              <w:rPr>
                <w:rFonts w:ascii="Calibri" w:hAnsi="Calibri"/>
                <w:i/>
                <w:color w:val="444444"/>
                <w:sz w:val="18"/>
              </w:rPr>
              <w:t>Negative (–) → toward Magenta</w:t>
              <w:br/>
              <w:t>Positive (+) → toward Green</w:t>
            </w:r>
          </w:p>
          <w:p>
            <w:pPr>
              <w:spacing w:before="80" w:after="120"/>
            </w:pPr>
            <w:r>
              <w:rPr>
                <w:rFonts w:ascii="Calibri" w:hAnsi="Calibri"/>
                <w:color w:val="444444"/>
                <w:sz w:val="19"/>
              </w:rPr>
              <w:t>Shifts the whole triangle vertically. Pushing positive gives all colors a slight greenish cast; pushing negative gives a magenta/purple cast.</w:t>
            </w:r>
          </w:p>
        </w:tc>
      </w:tr>
    </w:tbl>
    <w:p>
      <w:pPr>
        <w:spacing w:after="200"/>
      </w:pPr>
    </w:p>
    <w:p>
      <w:pPr>
        <w:spacing w:before="40" w:after="120"/>
      </w:pPr>
      <w:r>
        <w:rPr>
          <w:rFonts w:ascii="Calibri" w:hAnsi="Calibri"/>
          <w:b w:val="0"/>
          <w:i w:val="0"/>
          <w:color w:val="444444"/>
          <w:sz w:val="21"/>
        </w:rPr>
        <w:t>Together, these two sliders give you full 2D control over where the gamut triangle sits on the chromaticity map — you can nudge it in any direction by combining both.</w:t>
      </w:r>
    </w:p>
    <w:p>
      <w:pPr>
        <w:spacing w:before="160" w:after="200"/>
        <w:ind w:left="216" w:right="216"/>
        <w:shd w:val="clear" w:color="auto" w:fill="FFFBEA"/>
        <w:pBdr>
          <w:top w:val="single" w:sz="4" w:space="4" w:color="B86C00"/>
          <w:left w:val="single" w:sz="12" w:space="4" w:color="B86C00"/>
          <w:bottom w:val="single" w:sz="4" w:space="4" w:color="B86C00"/>
          <w:right w:val="single" w:sz="4" w:space="4" w:color="B86C00"/>
        </w:pBdr>
      </w:pPr>
      <w:r>
        <w:rPr>
          <w:rFonts w:ascii="Calibri" w:hAnsi="Calibri"/>
          <w:b/>
          <w:color w:val="B86C00"/>
          <w:sz w:val="20"/>
        </w:rPr>
        <w:t xml:space="preserve">ANALOGY   </w:t>
      </w:r>
      <w:r>
        <w:rPr>
          <w:rFonts w:ascii="Calibri" w:hAnsi="Calibri"/>
          <w:color w:val="444444"/>
          <w:sz w:val="20"/>
        </w:rPr>
        <w:t>Think of the gamut triangle as a rubber stamp. The Cyan–Red and Magenta–Green sliders control where you press it down on the page — left/right and up/down. The shape of the stamp never changes, only its position.</w:t>
      </w:r>
    </w:p>
    <w:p>
      <w:pPr>
        <w:spacing w:before="200" w:after="80"/>
        <w:jc w:val="left"/>
      </w:pPr>
      <w:r>
        <w:rPr>
          <w:rFonts w:ascii="Calibri" w:hAnsi="Calibri"/>
          <w:b/>
          <w:color w:val="006DC6"/>
          <w:sz w:val="28"/>
        </w:rPr>
        <w:t>Visualising the Shift</w:t>
      </w:r>
    </w:p>
    <w:p>
      <w:pPr>
        <w:spacing w:before="40" w:after="120"/>
      </w:pPr>
      <w:r>
        <w:rPr>
          <w:rFonts w:ascii="Calibri" w:hAnsi="Calibri"/>
          <w:b w:val="0"/>
          <w:i w:val="0"/>
          <w:color w:val="444444"/>
          <w:sz w:val="21"/>
        </w:rPr>
        <w:t>Below: the dashed triangle is the original BT.709 gamut position. The solid triangle shows what happens after applying a positive Cyan–Red adjustment (the whole gamut shifts rightward — toward red — on the chromaticity map).</w:t>
      </w:r>
    </w:p>
    <w:p>
      <w:pPr>
        <w:spacing w:before="0" w:after="0"/>
        <w:ind w:left="720"/>
        <w:shd w:val="clear" w:color="auto" w:fill="F4F4F4"/>
      </w:pPr>
      <w:r>
        <w:rPr>
          <w:rFonts w:ascii="Courier New" w:hAnsi="Courier New"/>
          <w:color w:val="444444"/>
          <w:sz w:val="20"/>
        </w:rPr>
        <w:t xml:space="preserve">              G′                   G = original Green primary</w:t>
      </w:r>
    </w:p>
    <w:p>
      <w:pPr>
        <w:spacing w:before="0" w:after="0"/>
        <w:ind w:left="720"/>
        <w:shd w:val="clear" w:color="auto" w:fill="F4F4F4"/>
      </w:pPr>
      <w:r>
        <w:rPr>
          <w:rFonts w:ascii="Courier New" w:hAnsi="Courier New"/>
          <w:color w:val="444444"/>
          <w:sz w:val="20"/>
        </w:rPr>
        <w:t xml:space="preserve">             /·\                   G′= shifted Green primary</w:t>
      </w:r>
    </w:p>
    <w:p>
      <w:pPr>
        <w:spacing w:before="0" w:after="0"/>
        <w:ind w:left="720"/>
        <w:shd w:val="clear" w:color="auto" w:fill="F4F4F4"/>
      </w:pPr>
      <w:r>
        <w:rPr>
          <w:rFonts w:ascii="Courier New" w:hAnsi="Courier New"/>
          <w:color w:val="444444"/>
          <w:sz w:val="20"/>
        </w:rPr>
        <w:t xml:space="preserve">            / · \    shift →</w:t>
      </w:r>
    </w:p>
    <w:p>
      <w:pPr>
        <w:spacing w:before="0" w:after="0"/>
        <w:ind w:left="720"/>
        <w:shd w:val="clear" w:color="auto" w:fill="F4F4F4"/>
      </w:pPr>
      <w:r>
        <w:rPr>
          <w:rFonts w:ascii="Courier New" w:hAnsi="Courier New"/>
          <w:color w:val="444444"/>
          <w:sz w:val="20"/>
        </w:rPr>
        <w:t xml:space="preserve">           /  · ·\</w:t>
      </w:r>
    </w:p>
    <w:p>
      <w:pPr>
        <w:spacing w:before="0" w:after="0"/>
        <w:ind w:left="720"/>
        <w:shd w:val="clear" w:color="auto" w:fill="F4F4F4"/>
      </w:pPr>
      <w:r>
        <w:rPr>
          <w:rFonts w:ascii="Courier New" w:hAnsi="Courier New"/>
          <w:color w:val="444444"/>
          <w:sz w:val="20"/>
        </w:rPr>
        <w:t xml:space="preserve">          B′· · · R′              All three corners move</w:t>
      </w:r>
    </w:p>
    <w:p>
      <w:pPr>
        <w:spacing w:before="0" w:after="0"/>
        <w:ind w:left="720"/>
        <w:shd w:val="clear" w:color="auto" w:fill="F4F4F4"/>
      </w:pPr>
      <w:r>
        <w:rPr>
          <w:rFonts w:ascii="Courier New" w:hAnsi="Courier New"/>
          <w:color w:val="444444"/>
          <w:sz w:val="20"/>
        </w:rPr>
        <w:t xml:space="preserve">         ·B·······R               together by the same amount</w:t>
      </w:r>
    </w:p>
    <w:p>
      <w:pPr>
        <w:spacing w:before="0" w:after="160"/>
      </w:pPr>
    </w:p>
    <w:p>
      <w:pPr>
        <w:spacing w:before="360" w:after="120"/>
        <w:jc w:val="left"/>
      </w:pPr>
      <w:r>
        <w:rPr>
          <w:rFonts w:ascii="Calibri" w:hAnsi="Calibri"/>
          <w:b/>
          <w:color w:val="003B8E"/>
          <w:sz w:val="40"/>
        </w:rPr>
        <w:t>3  Effect on CMS Calibration</w:t>
      </w:r>
    </w:p>
    <w:p>
      <w:pPr>
        <w:spacing w:before="40" w:after="120"/>
      </w:pPr>
      <w:r>
        <w:rPr>
          <w:rFonts w:ascii="Calibri" w:hAnsi="Calibri"/>
          <w:b w:val="0"/>
          <w:i w:val="0"/>
          <w:color w:val="444444"/>
          <w:sz w:val="21"/>
        </w:rPr>
        <w:t>This is where these sliders have the most significant practical consequence for calibration work.</w:t>
      </w:r>
    </w:p>
    <w:p>
      <w:pPr>
        <w:spacing w:before="200" w:after="80"/>
        <w:jc w:val="left"/>
      </w:pPr>
      <w:r>
        <w:rPr>
          <w:rFonts w:ascii="Calibri" w:hAnsi="Calibri"/>
          <w:b/>
          <w:color w:val="006DC6"/>
          <w:sz w:val="28"/>
        </w:rPr>
        <w:t>What CMS Does</w:t>
      </w:r>
    </w:p>
    <w:p>
      <w:pPr>
        <w:spacing w:before="40" w:after="120"/>
      </w:pPr>
      <w:r>
        <w:rPr>
          <w:rFonts w:ascii="Calibri" w:hAnsi="Calibri"/>
          <w:b w:val="0"/>
          <w:i w:val="0"/>
          <w:color w:val="444444"/>
          <w:sz w:val="21"/>
        </w:rPr>
        <w:t>The Color Correction CMS (6-color Hue / Saturation / Brightness adjustments for Red, Yellow, Green, Cyan, Blue, Magenta) works by fine-tuning where each individual primary and secondary color sits relative to its target position. A calibrator measures each color with a colorimeter, finds the error, and dials in corrections until each color lands on its target coordinates.</w:t>
      </w:r>
    </w:p>
    <w:p>
      <w:pPr>
        <w:spacing w:before="200" w:after="80"/>
        <w:jc w:val="left"/>
      </w:pPr>
      <w:r>
        <w:rPr>
          <w:rFonts w:ascii="Calibri" w:hAnsi="Calibri"/>
          <w:b/>
          <w:color w:val="991A1A"/>
          <w:sz w:val="28"/>
        </w:rPr>
        <w:t>What Happens When You Move the Gamut After CMS</w:t>
      </w:r>
    </w:p>
    <w:p>
      <w:pPr>
        <w:spacing w:before="40" w:after="120"/>
      </w:pPr>
      <w:r>
        <w:rPr>
          <w:rFonts w:ascii="Calibri" w:hAnsi="Calibri"/>
          <w:b w:val="0"/>
          <w:i w:val="0"/>
          <w:color w:val="444444"/>
          <w:sz w:val="21"/>
        </w:rPr>
        <w:t>If you adjust Cyan–Red or Magenta–Green after CMS calibration has been performed, the entire gamut shifts underneath the CMS corrections. Every color moves away from the position the CMS corrections were pointing at. The corrections are now wrong for every single color simultaneously.</w:t>
      </w:r>
    </w:p>
    <w:p>
      <w:pPr>
        <w:spacing w:before="160" w:after="200"/>
        <w:ind w:left="216" w:right="216"/>
        <w:shd w:val="clear" w:color="auto" w:fill="FFF0F0"/>
        <w:pBdr>
          <w:top w:val="single" w:sz="4" w:space="4" w:color="C43030"/>
          <w:left w:val="single" w:sz="12" w:space="4" w:color="C43030"/>
          <w:bottom w:val="single" w:sz="4" w:space="4" w:color="C43030"/>
          <w:right w:val="single" w:sz="4" w:space="4" w:color="C43030"/>
        </w:pBdr>
      </w:pPr>
      <w:r>
        <w:rPr>
          <w:rFonts w:ascii="Calibri" w:hAnsi="Calibri"/>
          <w:b/>
          <w:color w:val="991A1A"/>
          <w:sz w:val="20"/>
        </w:rPr>
        <w:t xml:space="preserve">WARNING   </w:t>
      </w:r>
      <w:r>
        <w:rPr>
          <w:rFonts w:ascii="Calibri" w:hAnsi="Calibri"/>
          <w:color w:val="444444"/>
          <w:sz w:val="20"/>
        </w:rPr>
        <w:t>Analogy: you carefully parked each car (R, G, B, C, M, Y) in its exact designated space. Then someone moved the entire car park. All cars are still in their same spaces relative to each other — but every car is now in the wrong space. The CMS must be redone from scratch.</w:t>
      </w:r>
    </w:p>
    <w:p>
      <w:pPr>
        <w:spacing w:before="40" w:after="120"/>
      </w:pPr>
      <w:r>
        <w:rPr>
          <w:rFonts w:ascii="Calibri" w:hAnsi="Calibri"/>
          <w:b w:val="0"/>
          <w:i w:val="0"/>
          <w:color w:val="444444"/>
          <w:sz w:val="21"/>
        </w:rPr>
        <w:t>In short: yes — adjusting these sliders after CMS work invalidates all per-color corrections. The global gamut position is the foundation that CMS is built on top of.</w:t>
      </w:r>
    </w:p>
    <w:p>
      <w:pPr>
        <w:spacing w:before="360" w:after="120"/>
        <w:jc w:val="left"/>
      </w:pPr>
      <w:r>
        <w:rPr>
          <w:rFonts w:ascii="Calibri" w:hAnsi="Calibri"/>
          <w:b/>
          <w:color w:val="003B8E"/>
          <w:sz w:val="40"/>
        </w:rPr>
        <w:t>4  Correct Calibration Order</w:t>
      </w:r>
    </w:p>
    <w:p>
      <w:pPr>
        <w:spacing w:before="40" w:after="120"/>
      </w:pPr>
      <w:r>
        <w:rPr>
          <w:rFonts w:ascii="Calibri" w:hAnsi="Calibri"/>
          <w:b w:val="0"/>
          <w:i w:val="0"/>
          <w:color w:val="444444"/>
          <w:sz w:val="21"/>
        </w:rPr>
        <w:t>Because the Color Space gamut position is the foundation for everything else, it must be set first and locked before any downstream calibration is performed.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648"/>
            <w:shd w:val="clear" w:color="auto" w:fill="003B8E"/>
            <w:vAlign w:val="center"/>
          </w:tcPr>
          <w:p>
            <w:pPr>
              <w:spacing w:before="80" w:after="80"/>
            </w:pPr>
            <w:r>
              <w:rPr>
                <w:rFonts w:ascii="Calibri" w:hAnsi="Calibri"/>
                <w:b/>
                <w:color w:val="FFFFFF"/>
                <w:sz w:val="18"/>
              </w:rPr>
              <w:t>STEP</w:t>
            </w:r>
          </w:p>
        </w:tc>
        <w:tc>
          <w:tcPr>
            <w:tcW w:type="dxa" w:w="3024"/>
            <w:shd w:val="clear" w:color="auto" w:fill="003B8E"/>
            <w:vAlign w:val="center"/>
          </w:tcPr>
          <w:p>
            <w:pPr>
              <w:spacing w:before="80" w:after="80"/>
            </w:pPr>
            <w:r>
              <w:rPr>
                <w:rFonts w:ascii="Calibri" w:hAnsi="Calibri"/>
                <w:b/>
                <w:color w:val="FFFFFF"/>
                <w:sz w:val="18"/>
              </w:rPr>
              <w:t>CONTROL</w:t>
            </w:r>
          </w:p>
        </w:tc>
        <w:tc>
          <w:tcPr>
            <w:tcW w:type="dxa" w:w="5544"/>
            <w:shd w:val="clear" w:color="auto" w:fill="003B8E"/>
            <w:vAlign w:val="center"/>
          </w:tcPr>
          <w:p>
            <w:pPr>
              <w:spacing w:before="80" w:after="80"/>
            </w:pPr>
            <w:r>
              <w:rPr>
                <w:rFonts w:ascii="Calibri" w:hAnsi="Calibri"/>
                <w:b/>
                <w:color w:val="FFFFFF"/>
                <w:sz w:val="18"/>
              </w:rPr>
              <w:t>WHY</w:t>
            </w:r>
          </w:p>
        </w:tc>
      </w:tr>
      <w:tr>
        <w:tc>
          <w:tcPr>
            <w:tcW w:type="dxa" w:w="648"/>
            <w:shd w:val="clear" w:color="auto" w:fill="FFFFFF"/>
            <w:vAlign w:val="center"/>
            <w:tcBorders>
              <w:bottom w:val="single" w:sz="2" w:space="0" w:color="E0E0E0"/>
            </w:tcBorders>
          </w:tcPr>
          <w:p>
            <w:pPr>
              <w:spacing w:before="80" w:after="80"/>
            </w:pPr>
            <w:r>
              <w:rPr>
                <w:rFonts w:ascii="Calibri" w:hAnsi="Calibri"/>
                <w:b/>
                <w:color w:val="1A1A1A"/>
                <w:sz w:val="19"/>
              </w:rPr>
              <w:t>1</w:t>
            </w:r>
          </w:p>
        </w:tc>
        <w:tc>
          <w:tcPr>
            <w:tcW w:type="dxa" w:w="3024"/>
            <w:shd w:val="clear" w:color="auto" w:fill="FFFFFF"/>
            <w:vAlign w:val="center"/>
            <w:tcBorders>
              <w:bottom w:val="single" w:sz="2" w:space="0" w:color="E0E0E0"/>
            </w:tcBorders>
          </w:tcPr>
          <w:p>
            <w:pPr>
              <w:spacing w:before="80" w:after="80"/>
            </w:pPr>
            <w:r>
              <w:rPr>
                <w:rFonts w:ascii="Calibri" w:hAnsi="Calibri"/>
                <w:b w:val="0"/>
                <w:color w:val="1A1A1A"/>
                <w:sz w:val="19"/>
              </w:rPr>
              <w:t>Color Space</w:t>
              <w:br/>
              <w:t>(+ Cyan–Red / Magenta–Green)</w:t>
            </w:r>
          </w:p>
        </w:tc>
        <w:tc>
          <w:tcPr>
            <w:tcW w:type="dxa" w:w="5544"/>
            <w:shd w:val="clear" w:color="auto" w:fill="FFFFFF"/>
            <w:vAlign w:val="center"/>
            <w:tcBorders>
              <w:bottom w:val="single" w:sz="2" w:space="0" w:color="E0E0E0"/>
            </w:tcBorders>
          </w:tcPr>
          <w:p>
            <w:pPr>
              <w:spacing w:before="80" w:after="80"/>
            </w:pPr>
            <w:r>
              <w:rPr>
                <w:rFonts w:ascii="Calibri" w:hAnsi="Calibri"/>
                <w:b w:val="0"/>
                <w:color w:val="1A1A1A"/>
                <w:sz w:val="19"/>
              </w:rPr>
              <w:t>Sets the gamut foundation — where the triangle sits on the chromaticity map. Lock this first.</w:t>
            </w:r>
          </w:p>
        </w:tc>
      </w:tr>
      <w:tr>
        <w:tc>
          <w:tcPr>
            <w:tcW w:type="dxa" w:w="648"/>
            <w:shd w:val="clear" w:color="auto" w:fill="F7F9FF"/>
            <w:vAlign w:val="center"/>
            <w:tcBorders>
              <w:bottom w:val="single" w:sz="2" w:space="0" w:color="E0E0E0"/>
            </w:tcBorders>
          </w:tcPr>
          <w:p>
            <w:pPr>
              <w:spacing w:before="80" w:after="80"/>
            </w:pPr>
            <w:r>
              <w:rPr>
                <w:rFonts w:ascii="Calibri" w:hAnsi="Calibri"/>
                <w:b/>
                <w:color w:val="1A1A1A"/>
                <w:sz w:val="19"/>
              </w:rPr>
              <w:t>2</w:t>
            </w:r>
          </w:p>
        </w:tc>
        <w:tc>
          <w:tcPr>
            <w:tcW w:type="dxa" w:w="3024"/>
            <w:shd w:val="clear" w:color="auto" w:fill="F7F9FF"/>
            <w:vAlign w:val="center"/>
            <w:tcBorders>
              <w:bottom w:val="single" w:sz="2" w:space="0" w:color="E0E0E0"/>
            </w:tcBorders>
          </w:tcPr>
          <w:p>
            <w:pPr>
              <w:spacing w:before="80" w:after="80"/>
            </w:pPr>
            <w:r>
              <w:rPr>
                <w:rFonts w:ascii="Calibri" w:hAnsi="Calibri"/>
                <w:b w:val="0"/>
                <w:color w:val="1A1A1A"/>
                <w:sz w:val="19"/>
              </w:rPr>
              <w:t>Color Temperature</w:t>
              <w:br/>
              <w:t>(Gain R/G/B · Bias R/G/B)</w:t>
            </w:r>
          </w:p>
        </w:tc>
        <w:tc>
          <w:tcPr>
            <w:tcW w:type="dxa" w:w="5544"/>
            <w:shd w:val="clear" w:color="auto" w:fill="F7F9FF"/>
            <w:vAlign w:val="center"/>
            <w:tcBorders>
              <w:bottom w:val="single" w:sz="2" w:space="0" w:color="E0E0E0"/>
            </w:tcBorders>
          </w:tcPr>
          <w:p>
            <w:pPr>
              <w:spacing w:before="80" w:after="80"/>
            </w:pPr>
            <w:r>
              <w:rPr>
                <w:rFonts w:ascii="Calibri" w:hAnsi="Calibri"/>
                <w:b w:val="0"/>
                <w:color w:val="1A1A1A"/>
                <w:sz w:val="19"/>
              </w:rPr>
              <w:t>Sets the white point and black point within the chosen gamut.</w:t>
            </w:r>
          </w:p>
        </w:tc>
      </w:tr>
      <w:tr>
        <w:tc>
          <w:tcPr>
            <w:tcW w:type="dxa" w:w="648"/>
            <w:shd w:val="clear" w:color="auto" w:fill="FFFFFF"/>
            <w:vAlign w:val="center"/>
            <w:tcBorders>
              <w:bottom w:val="single" w:sz="2" w:space="0" w:color="E0E0E0"/>
            </w:tcBorders>
          </w:tcPr>
          <w:p>
            <w:pPr>
              <w:spacing w:before="80" w:after="80"/>
            </w:pPr>
            <w:r>
              <w:rPr>
                <w:rFonts w:ascii="Calibri" w:hAnsi="Calibri"/>
                <w:b/>
                <w:color w:val="1A1A1A"/>
                <w:sz w:val="19"/>
              </w:rPr>
              <w:t>3</w:t>
            </w:r>
          </w:p>
        </w:tc>
        <w:tc>
          <w:tcPr>
            <w:tcW w:type="dxa" w:w="3024"/>
            <w:shd w:val="clear" w:color="auto" w:fill="FFFFFF"/>
            <w:vAlign w:val="center"/>
            <w:tcBorders>
              <w:bottom w:val="single" w:sz="2" w:space="0" w:color="E0E0E0"/>
            </w:tcBorders>
          </w:tcPr>
          <w:p>
            <w:pPr>
              <w:spacing w:before="80" w:after="80"/>
            </w:pPr>
            <w:r>
              <w:rPr>
                <w:rFonts w:ascii="Calibri" w:hAnsi="Calibri"/>
                <w:b w:val="0"/>
                <w:color w:val="1A1A1A"/>
                <w:sz w:val="19"/>
              </w:rPr>
              <w:t>Gamma Correction</w:t>
              <w:br/>
              <w:t>(or upload custom .ldt curve)</w:t>
            </w:r>
          </w:p>
        </w:tc>
        <w:tc>
          <w:tcPr>
            <w:tcW w:type="dxa" w:w="5544"/>
            <w:shd w:val="clear" w:color="auto" w:fill="FFFFFF"/>
            <w:vAlign w:val="center"/>
            <w:tcBorders>
              <w:bottom w:val="single" w:sz="2" w:space="0" w:color="E0E0E0"/>
            </w:tcBorders>
          </w:tcPr>
          <w:p>
            <w:pPr>
              <w:spacing w:before="80" w:after="80"/>
            </w:pPr>
            <w:r>
              <w:rPr>
                <w:rFonts w:ascii="Calibri" w:hAnsi="Calibri"/>
                <w:b w:val="0"/>
                <w:color w:val="1A1A1A"/>
                <w:sz w:val="19"/>
              </w:rPr>
              <w:t>Sets the tonal response — how brightness maps from input to output.</w:t>
            </w:r>
          </w:p>
        </w:tc>
      </w:tr>
      <w:tr>
        <w:tc>
          <w:tcPr>
            <w:tcW w:type="dxa" w:w="648"/>
            <w:shd w:val="clear" w:color="auto" w:fill="F7F9FF"/>
            <w:vAlign w:val="center"/>
            <w:tcBorders>
              <w:bottom w:val="single" w:sz="2" w:space="0" w:color="E0E0E0"/>
            </w:tcBorders>
          </w:tcPr>
          <w:p>
            <w:pPr>
              <w:spacing w:before="80" w:after="80"/>
            </w:pPr>
            <w:r>
              <w:rPr>
                <w:rFonts w:ascii="Calibri" w:hAnsi="Calibri"/>
                <w:b/>
                <w:color w:val="1A1A1A"/>
                <w:sz w:val="19"/>
              </w:rPr>
              <w:t>4</w:t>
            </w:r>
          </w:p>
        </w:tc>
        <w:tc>
          <w:tcPr>
            <w:tcW w:type="dxa" w:w="3024"/>
            <w:shd w:val="clear" w:color="auto" w:fill="F7F9FF"/>
            <w:vAlign w:val="center"/>
            <w:tcBorders>
              <w:bottom w:val="single" w:sz="2" w:space="0" w:color="E0E0E0"/>
            </w:tcBorders>
          </w:tcPr>
          <w:p>
            <w:pPr>
              <w:spacing w:before="80" w:after="80"/>
            </w:pPr>
            <w:r>
              <w:rPr>
                <w:rFonts w:ascii="Calibri" w:hAnsi="Calibri"/>
                <w:b w:val="0"/>
                <w:color w:val="1A1A1A"/>
                <w:sz w:val="19"/>
              </w:rPr>
              <w:t>Color Correction CMS</w:t>
              <w:br/>
              <w:t>(Hue / Sat / Brightness per color)</w:t>
            </w:r>
          </w:p>
        </w:tc>
        <w:tc>
          <w:tcPr>
            <w:tcW w:type="dxa" w:w="5544"/>
            <w:shd w:val="clear" w:color="auto" w:fill="F7F9FF"/>
            <w:vAlign w:val="center"/>
            <w:tcBorders>
              <w:bottom w:val="single" w:sz="2" w:space="0" w:color="E0E0E0"/>
            </w:tcBorders>
          </w:tcPr>
          <w:p>
            <w:pPr>
              <w:spacing w:before="80" w:after="80"/>
            </w:pPr>
            <w:r>
              <w:rPr>
                <w:rFonts w:ascii="Calibri" w:hAnsi="Calibri"/>
                <w:b w:val="0"/>
                <w:color w:val="1A1A1A"/>
                <w:sz w:val="19"/>
              </w:rPr>
              <w:t>Fine-tunes individual primaries and secondaries last, after the gamut foundation is locked.</w:t>
            </w:r>
          </w:p>
        </w:tc>
      </w:tr>
    </w:tbl>
    <w:p>
      <w:pPr>
        <w:spacing w:after="120"/>
      </w:pPr>
    </w:p>
    <w:p>
      <w:pPr>
        <w:spacing w:before="160" w:after="20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20"/>
        </w:rPr>
        <w:t xml:space="preserve">RULE   </w:t>
      </w:r>
      <w:r>
        <w:rPr>
          <w:rFonts w:ascii="Calibri" w:hAnsi="Calibri"/>
          <w:color w:val="444444"/>
          <w:sz w:val="20"/>
        </w:rPr>
        <w:t>Return to step 1 at any point and all subsequent steps must be repeated. Steps 2, 3, and 4 are always downstream of the Color Space gamut position.</w:t>
      </w:r>
    </w:p>
    <w:p>
      <w:pPr>
        <w:spacing w:before="360" w:after="120"/>
        <w:jc w:val="left"/>
      </w:pPr>
      <w:r>
        <w:rPr>
          <w:rFonts w:ascii="Calibri" w:hAnsi="Calibri"/>
          <w:b/>
          <w:color w:val="003B8E"/>
          <w:sz w:val="40"/>
        </w:rPr>
        <w:t>5  When to Actually Use These Sliders</w:t>
      </w:r>
    </w:p>
    <w:p>
      <w:pPr>
        <w:spacing w:before="40" w:after="120"/>
      </w:pPr>
      <w:r>
        <w:rPr>
          <w:rFonts w:ascii="Calibri" w:hAnsi="Calibri"/>
          <w:b w:val="0"/>
          <w:i w:val="0"/>
          <w:color w:val="444444"/>
          <w:sz w:val="21"/>
        </w:rPr>
        <w:t>In a well-functioning projector measured against its target color space, these sliders should ideally sit at 0. They exist to compensate for real-world variations: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592"/>
            <w:shd w:val="clear" w:color="auto" w:fill="FFFFFF"/>
            <w:tcBorders>
              <w:bottom w:val="single" w:sz="2" w:space="0" w:color="E0E0E0"/>
            </w:tcBorders>
          </w:tcPr>
          <w:p>
            <w:pPr>
              <w:spacing w:before="100" w:after="100"/>
            </w:pPr>
            <w:r>
              <w:rPr>
                <w:rFonts w:ascii="Calibri" w:hAnsi="Calibri"/>
                <w:b/>
                <w:color w:val="003B8E"/>
                <w:sz w:val="19"/>
              </w:rPr>
              <w:t>Systematic gamut error</w:t>
            </w:r>
          </w:p>
        </w:tc>
        <w:tc>
          <w:tcPr>
            <w:tcW w:type="dxa" w:w="6624"/>
            <w:shd w:val="clear" w:color="auto" w:fill="FFFFFF"/>
            <w:tcBorders>
              <w:bottom w:val="single" w:sz="2" w:space="0" w:color="E0E0E0"/>
            </w:tcBorders>
          </w:tcPr>
          <w:p>
            <w:pPr>
              <w:spacing w:before="100" w:after="100"/>
            </w:pPr>
            <w:r>
              <w:rPr>
                <w:rFonts w:ascii="Calibri" w:hAnsi="Calibri"/>
                <w:color w:val="444444"/>
                <w:sz w:val="19"/>
              </w:rPr>
              <w:t>If measurement shows the projector's gamut is consistently shifted in one direction vs. the BT.709 targets (e.g. slightly redward across all colors), a small Cyan–Red correction fixes the whole gamut at once — more efficient than correcting every individual color in CMS.</w:t>
            </w:r>
          </w:p>
        </w:tc>
      </w:tr>
      <w:tr>
        <w:tc>
          <w:tcPr>
            <w:tcW w:type="dxa" w:w="2592"/>
            <w:shd w:val="clear" w:color="auto" w:fill="F7F9FF"/>
            <w:tcBorders>
              <w:bottom w:val="single" w:sz="2" w:space="0" w:color="E0E0E0"/>
            </w:tcBorders>
          </w:tcPr>
          <w:p>
            <w:pPr>
              <w:spacing w:before="100" w:after="100"/>
            </w:pPr>
            <w:r>
              <w:rPr>
                <w:rFonts w:ascii="Calibri" w:hAnsi="Calibri"/>
                <w:b/>
                <w:color w:val="003B8E"/>
                <w:sz w:val="19"/>
              </w:rPr>
              <w:t>Unit-to-unit matching</w:t>
            </w:r>
          </w:p>
        </w:tc>
        <w:tc>
          <w:tcPr>
            <w:tcW w:type="dxa" w:w="6624"/>
            <w:shd w:val="clear" w:color="auto" w:fill="F7F9FF"/>
            <w:tcBorders>
              <w:bottom w:val="single" w:sz="2" w:space="0" w:color="E0E0E0"/>
            </w:tcBorders>
          </w:tcPr>
          <w:p>
            <w:pPr>
              <w:spacing w:before="100" w:after="100"/>
            </w:pPr>
            <w:r>
              <w:rPr>
                <w:rFonts w:ascii="Calibri" w:hAnsi="Calibri"/>
                <w:color w:val="444444"/>
                <w:sz w:val="19"/>
              </w:rPr>
              <w:t>Two projectors of the same model can have slight gamut position differences from lamp and panel manufacturing tolerances. This global trim brings them into alignment before per-color CMS work.</w:t>
            </w:r>
          </w:p>
        </w:tc>
      </w:tr>
      <w:tr>
        <w:tc>
          <w:tcPr>
            <w:tcW w:type="dxa" w:w="2592"/>
            <w:shd w:val="clear" w:color="auto" w:fill="FFFFFF"/>
            <w:tcBorders>
              <w:bottom w:val="single" w:sz="2" w:space="0" w:color="E0E0E0"/>
            </w:tcBorders>
          </w:tcPr>
          <w:p>
            <w:pPr>
              <w:spacing w:before="100" w:after="100"/>
            </w:pPr>
            <w:r>
              <w:rPr>
                <w:rFonts w:ascii="Calibri" w:hAnsi="Calibri"/>
                <w:b/>
                <w:color w:val="003B8E"/>
                <w:sz w:val="19"/>
              </w:rPr>
              <w:t>Room/environment compensation</w:t>
            </w:r>
          </w:p>
        </w:tc>
        <w:tc>
          <w:tcPr>
            <w:tcW w:type="dxa" w:w="6624"/>
            <w:shd w:val="clear" w:color="auto" w:fill="FFFFFF"/>
            <w:tcBorders>
              <w:bottom w:val="single" w:sz="2" w:space="0" w:color="E0E0E0"/>
            </w:tcBorders>
          </w:tcPr>
          <w:p>
            <w:pPr>
              <w:spacing w:before="100" w:after="100"/>
            </w:pPr>
            <w:r>
              <w:rPr>
                <w:rFonts w:ascii="Calibri" w:hAnsi="Calibri"/>
                <w:color w:val="444444"/>
                <w:sz w:val="19"/>
              </w:rPr>
              <w:t>Ambient light with a strong color cast (e.g. warm tungsten room lighting) can be partially compensated here at the gamut level before fine CMS work.</w:t>
            </w:r>
          </w:p>
        </w:tc>
      </w:tr>
    </w:tbl>
    <w:p>
      <w:pPr>
        <w:spacing w:after="160"/>
      </w:pPr>
    </w:p>
    <w:p>
      <w:pPr>
        <w:pBdr>
          <w:bottom w:val="single" w:sz="4" w:space="1" w:color="CCCCCC"/>
        </w:pBdr>
        <w:spacing w:before="240" w:after="80"/>
      </w:pPr>
    </w:p>
    <w:p>
      <w:pPr>
        <w:jc w:val="center"/>
      </w:pPr>
      <w:r>
        <w:rPr>
          <w:rFonts w:ascii="Calibri" w:hAnsi="Calibri"/>
          <w:color w:val="777777"/>
          <w:sz w:val="16"/>
        </w:rPr>
        <w:t>Sony VPL-VW385ES  ·  Color Space Gamut Adjustment Reference  ·  Verified from OSD screenshot and operating instructions (47254410M)</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