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KeyNote — 260624 REVoi · Back2TV (기술 상세)</w:t>
      </w:r>
    </w:p>
    <w:p>
      <w:pPr>
        <w:pStyle w:val="Heading1"/>
      </w:pPr>
      <w:r>
        <w:t>1. bt_full.gen_trades — REV(ext_side) 확장</w:t>
      </w:r>
    </w:p>
    <w:p>
      <w:pPr>
        <w:pStyle w:val="ListBullet"/>
      </w:pPr>
      <w:r>
        <w:t>ext_side(외부신호)·align_pivot·use_trend_flip·arm_bars 추가. ext_side 주면 REV: 외부신호 방향 arming(arm_bars봉 유효) → 눌림목 확정 후 진입.</w:t>
      </w:r>
    </w:p>
    <w:p>
      <w:pPr>
        <w:pStyle w:val="ListBullet"/>
      </w:pPr>
      <w:r>
        <w:t>TS 경로(ext_side=None) 불변. 스톱캡(cand≤close)·1m체결·실펀딩·현실수수료 공유.</w:t>
      </w:r>
    </w:p>
    <w:p>
      <w:pPr>
        <w:pStyle w:val="Heading1"/>
      </w:pPr>
      <w:r>
        <w:t>2. REV 신호 (rev_side, 롤링정직)</w:t>
      </w:r>
    </w:p>
    <w:p>
      <w:r>
        <w:rPr>
          <w:b w:val="0"/>
        </w:rPr>
        <w:t>mom=open.pct_change(3)·oi=oi_zscore_24h.shift(1) → 각 롤링z(qwin) → combo=−zm·0.048+(−zo)·0.037 → 롤링분위(q,1−q) 임계로 side. 전부 과거만 = 룩어헤드0.</w:t>
      </w:r>
    </w:p>
    <w:p>
      <w:pPr>
        <w:pStyle w:val="Heading1"/>
      </w:pPr>
      <w:r>
        <w:t>3. verify_REVoi — 환각검증 결과</w:t>
      </w:r>
    </w:p>
    <w:p>
      <w:pPr>
        <w:pStyle w:val="ListBullet"/>
      </w:pPr>
      <w:r>
        <w:t>진입 체결점 2796/2796(100%)·청산 932/932(100%) 1m범위 내. 청산가 보유창 실도달 미도달 0.</w:t>
      </w:r>
    </w:p>
    <w:p>
      <w:pPr>
        <w:pStyle w:val="ListBullet"/>
      </w:pPr>
      <w:r>
        <w:t>oi_zscore 아핀상쇄 최대차 2.4e-9. → 환각·미래참조 0 확정.</w:t>
      </w:r>
    </w:p>
    <w:p>
      <w:pPr>
        <w:pStyle w:val="Heading1"/>
      </w:pPr>
      <w:r>
        <w:t>4. Back2TV 청산모델 사이징 (back2tv_REVoi)</w:t>
      </w:r>
    </w:p>
    <w:p>
      <w:r>
        <w:rPr>
          <w:b w:val="0"/>
        </w:rPr>
        <w:t>rauto_paper_engine 1:1 격리마진. 레버[3..30]×증거금[10..100%] 격자 스윕. ②MDD무제한·③MDD≤−25 최고복리.</w:t>
      </w:r>
    </w:p>
    <w:p>
      <w:pPr>
        <w:pStyle w:val="Heading1"/>
      </w:pPr>
      <w:r>
        <w:t>5. make_pine v6</w:t>
      </w:r>
    </w:p>
    <w:p>
      <w:r>
        <w:rPr>
          <w:b w:val="0"/>
        </w:rPr>
        <w:t>//@version=6 · array.new&lt;float/int&gt; · 임베드≤400 · 80슬라이더 · 캔들 클램프 · 체결점 생략(삼각형이 base겸) · 라벨&lt;500(80×4).</w:t>
      </w:r>
    </w:p>
    <w:p>
      <w:pPr>
        <w:pStyle w:val="Heading1"/>
      </w:pPr>
      <w:r>
        <w:t>6. 최종 수치</w:t>
      </w:r>
    </w:p>
    <w:p>
      <w:pPr>
        <w:pStyle w:val="ListBullet"/>
      </w:pPr>
      <w:r>
        <w:t>③ MDD−25: 레버3/증거금75% → +1852%/MDD−25%/PF1.36/청산0/단일최고월+44%.</w:t>
      </w:r>
    </w:p>
    <w:p>
      <w:pPr>
        <w:pStyle w:val="ListBullet"/>
      </w:pPr>
      <w:r>
        <w:t>② MDD해제: 레버13/증거금100% → +853,337%/MDD−85%/PF1.09/청산0 (환상 상한·참고).</w:t>
      </w:r>
    </w:p>
    <w:p>
      <w:pPr>
        <w:pStyle w:val="ListBullet"/>
      </w:pPr>
      <w:r>
        <w:t>CPCV 표준6(재최적): p25 +12.7%/yr·음수폴드20%·MDD위반53%·최악−35%.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