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Order — Rauto 구조개혁 후속 (2026-06-25)</w:t>
      </w:r>
    </w:p>
    <w:p>
      <w:r>
        <w:rPr>
          <w:b/>
          <w:sz w:val="21"/>
        </w:rPr>
        <w:t>맥락: 5모듈 구조개혁 ①②③ 완료(전환점). ④와 보강 과제를 다음 세션 이후로.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과제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완료조건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재평가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④ 관제센터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슬롯/챔피언 매니저 + DataHub 연결 끝단배선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REVoi 1봇 끝단 데모 + 챔피언선발 CPCV게이트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다봇 생긴 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RautoCEX Live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Sim↔Live 인터페이스의 Live 구현(실거래소 체결수신)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테스트넷 체결과 Sim 비용모델 오차 측정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테스트넷 단계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슬립 틱보정(안전장치7)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aggTrades 실측으로 SlipModel 계수 보정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스프레드/충격 실측 대체, +1483% 갱신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틱데이터 확보 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engines 승급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signal/decision의 research deps(rev_side·gen_trades) 정리 후 engines 이전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deps 끊고 engines import만으로 동작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다음 세션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연구경로 적용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벡터 백테(연구)도 RautoCEX 모델 공유(안전장치6)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벡터·이벤트 1회 교차검증 일치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④ 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