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565D8"/>
          <w:sz w:val="72"/>
        </w:rPr>
        <w:t>proviso</w:t>
      </w:r>
    </w:p>
    <w:p>
      <w:pPr>
        <w:spacing w:after="80"/>
        <w:jc w:val="center"/>
      </w:pPr>
      <w:r>
        <w:rPr>
          <w:rFonts w:ascii="Consolas" w:hAnsi="Consolas"/>
          <w:color w:val="5878A0"/>
          <w:sz w:val="22"/>
        </w:rPr>
        <w:t>WORKFLOW INGESTION FOR M-FILES</w:t>
      </w:r>
    </w:p>
    <w:p>
      <w:pPr>
        <w:spacing w:after="120"/>
        <w:jc w:val="center"/>
      </w:pPr>
      <w:r>
        <w:rPr>
          <w:rFonts w:ascii="Calibri" w:hAnsi="Calibri"/>
          <w:i/>
          <w:color w:val="4A9FFF"/>
          <w:sz w:val="20"/>
        </w:rPr>
        <w:t>Phase I  ·  Proof of Concept</w:t>
      </w:r>
    </w:p>
    <w:p>
      <w:pPr>
        <w:spacing w:after="80"/>
        <w:jc w:val="center"/>
      </w:pPr>
      <w:r>
        <w:rPr>
          <w:rFonts w:ascii="Calibri" w:hAnsi="Calibri"/>
          <w:color w:val="666666"/>
          <w:sz w:val="20"/>
        </w:rPr>
        <w:t xml:space="preserve">▸ Live Demo:  </w:t>
      </w:r>
      <w:r>
        <w:rPr>
          <w:rFonts w:ascii="Consolas" w:hAnsi="Consolas"/>
          <w:b/>
          <w:color w:val="00C870"/>
          <w:sz w:val="20"/>
        </w:rPr>
        <w:t>provisio-theta.vercel.app</w:t>
      </w:r>
    </w:p>
    <w:p>
      <w:pPr>
        <w:jc w:val="center"/>
      </w:pPr>
      <w:r>
        <w:rPr>
          <w:color w:val="DEE5EF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1565D8"/>
          <w:sz w:val="44"/>
        </w:rPr>
        <w:t>The Problem We're Solving</w:t>
      </w:r>
    </w:p>
    <w:p>
      <w:pPr>
        <w:spacing w:after="160" w:line="360" w:lineRule="exact"/>
      </w:pPr>
      <w:r>
        <w:rPr>
          <w:rFonts w:ascii="Calibri" w:hAnsi="Calibri"/>
          <w:color w:val="1A1A2E"/>
          <w:sz w:val="21"/>
        </w:rPr>
        <w:t xml:space="preserve">Today, every M-Files workflow deployment requires </w:t>
      </w:r>
      <w:r>
        <w:rPr>
          <w:rFonts w:ascii="Calibri" w:hAnsi="Calibri"/>
          <w:b/>
          <w:color w:val="1565D8"/>
          <w:sz w:val="21"/>
        </w:rPr>
        <w:t>triple entry</w:t>
      </w:r>
      <w:r>
        <w:rPr>
          <w:rFonts w:ascii="Calibri" w:hAnsi="Calibri"/>
          <w:color w:val="1A1A2E"/>
          <w:sz w:val="21"/>
        </w:rPr>
        <w:t xml:space="preserve"> — the same logic written three times, in three different places, by hand: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STEP</w:t>
            </w:r>
          </w:p>
        </w:tc>
        <w:tc>
          <w:tcPr>
            <w:tcW w:type="dxa" w:w="312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MANUAL TASK</w:t>
            </w:r>
          </w:p>
        </w:tc>
        <w:tc>
          <w:tcPr>
            <w:tcW w:type="dxa" w:w="312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RISK</w:t>
            </w:r>
          </w:p>
        </w:tc>
      </w:tr>
      <w:tr>
        <w:tc>
          <w:tcPr>
            <w:tcW w:type="dxa" w:w="312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1</w:t>
            </w:r>
          </w:p>
        </w:tc>
        <w:tc>
          <w:tcPr>
            <w:tcW w:type="dxa" w:w="312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Write the SOW document</w:t>
            </w:r>
          </w:p>
        </w:tc>
        <w:tc>
          <w:tcPr>
            <w:tcW w:type="dxa" w:w="312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⚠ Misinterpretation</w:t>
            </w:r>
          </w:p>
        </w:tc>
      </w:tr>
      <w:tr>
        <w:tc>
          <w:tcPr>
            <w:tcW w:type="dxa" w:w="312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2</w:t>
            </w:r>
          </w:p>
        </w:tc>
        <w:tc>
          <w:tcPr>
            <w:tcW w:type="dxa" w:w="312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Draw a workflow diagram</w:t>
            </w:r>
          </w:p>
        </w:tc>
        <w:tc>
          <w:tcPr>
            <w:tcW w:type="dxa" w:w="312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⚠ Drift from SOW</w:t>
            </w:r>
          </w:p>
        </w:tc>
      </w:tr>
      <w:tr>
        <w:tc>
          <w:tcPr>
            <w:tcW w:type="dxa" w:w="312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3</w:t>
            </w:r>
          </w:p>
        </w:tc>
        <w:tc>
          <w:tcPr>
            <w:tcW w:type="dxa" w:w="312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Rebuild it in M-Files Admin</w:t>
            </w:r>
          </w:p>
        </w:tc>
        <w:tc>
          <w:tcPr>
            <w:tcW w:type="dxa" w:w="312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⚠ Fat-finger errors</w:t>
            </w:r>
          </w:p>
        </w:tc>
      </w:tr>
    </w:tbl>
    <w:p/>
    <w:p>
      <w:pPr>
        <w:spacing w:after="160" w:line="360" w:lineRule="exact"/>
      </w:pPr>
      <w:r>
        <w:rPr>
          <w:rFonts w:ascii="Calibri" w:hAnsi="Calibri"/>
          <w:color w:val="1A1A2E"/>
          <w:sz w:val="21"/>
        </w:rPr>
        <w:t>Each step is disconnected. A change in one doesn't update the others. Mistakes compound. Consultants spend hours clicking through admin screens reproducing what's already on paper.</w:t>
      </w:r>
    </w:p>
    <w:p>
      <w:pPr>
        <w:spacing w:after="160" w:line="360" w:lineRule="exact"/>
      </w:pPr>
      <w:r>
        <w:rPr>
          <w:rFonts w:ascii="Calibri" w:hAnsi="Calibri"/>
          <w:color w:val="1A1A2E"/>
          <w:sz w:val="21"/>
        </w:rPr>
      </w:r>
      <w:r>
        <w:rPr>
          <w:rFonts w:ascii="Calibri" w:hAnsi="Calibri"/>
          <w:b/>
          <w:color w:val="1565D8"/>
          <w:sz w:val="21"/>
        </w:rPr>
        <w:t>Proviso eliminates all three steps and replaces them with one.</w:t>
      </w:r>
      <w:r>
        <w:rPr>
          <w:rFonts w:ascii="Calibri" w:hAnsi="Calibri"/>
          <w:color w:val="1A1A2E"/>
          <w:sz w:val="21"/>
        </w:rPr>
      </w:r>
    </w:p>
    <w:p>
      <w:pPr>
        <w:pStyle w:val="Heading1"/>
      </w:pPr>
      <w:r>
        <w:rPr>
          <w:rFonts w:ascii="Calibri" w:hAnsi="Calibri"/>
          <w:color w:val="1565D8"/>
          <w:sz w:val="44"/>
        </w:rPr>
        <w:t>The Solution: SOW-to-Vault Automation</w:t>
      </w:r>
    </w:p>
    <w:p>
      <w:pPr>
        <w:spacing w:after="160" w:line="360" w:lineRule="exact"/>
      </w:pPr>
      <w:r>
        <w:rPr>
          <w:rFonts w:ascii="Calibri" w:hAnsi="Calibri"/>
          <w:color w:val="1A1A2E"/>
          <w:sz w:val="21"/>
        </w:rPr>
        <w:t xml:space="preserve">The SOW spreadsheet becomes the </w:t>
      </w:r>
      <w:r>
        <w:rPr>
          <w:rFonts w:ascii="Calibri" w:hAnsi="Calibri"/>
          <w:b/>
          <w:color w:val="1565D8"/>
          <w:sz w:val="21"/>
        </w:rPr>
        <w:t>single source of truth</w:t>
      </w:r>
      <w:r>
        <w:rPr>
          <w:rFonts w:ascii="Calibri" w:hAnsi="Calibri"/>
          <w:color w:val="1A1A2E"/>
          <w:sz w:val="21"/>
        </w:rPr>
        <w:t>. Everything else — the diagram, the PRD, the vault configuration — is generated automatically from that one input.</w:t>
      </w:r>
    </w:p>
    <w:p>
      <w:pPr>
        <w:spacing w:before="280" w:after="280"/>
        <w:jc w:val="center"/>
      </w:pPr>
      <w:r>
        <w:rPr>
          <w:rFonts w:ascii="Calibri" w:hAnsi="Calibri"/>
          <w:b/>
          <w:color w:val="1565D8"/>
          <w:sz w:val="28"/>
        </w:rPr>
        <w:t xml:space="preserve">One input.  </w:t>
      </w:r>
      <w:r>
        <w:rPr>
          <w:rFonts w:ascii="Calibri" w:hAnsi="Calibri"/>
          <w:b/>
          <w:color w:val="1A1A2E"/>
          <w:sz w:val="28"/>
        </w:rPr>
        <w:t xml:space="preserve">Four outputs.  </w:t>
      </w:r>
      <w:r>
        <w:rPr>
          <w:rFonts w:ascii="Calibri" w:hAnsi="Calibri"/>
          <w:b/>
          <w:color w:val="00C870"/>
          <w:sz w:val="28"/>
        </w:rPr>
        <w:t>Zero re-entry.</w:t>
      </w:r>
    </w:p>
    <w:p>
      <w:pPr>
        <w:pStyle w:val="Heading3"/>
      </w:pPr>
      <w:r>
        <w:rPr>
          <w:rFonts w:ascii="Calibri" w:hAnsi="Calibri"/>
          <w:color w:val="4A9FFF"/>
          <w:sz w:val="26"/>
        </w:rPr>
        <w:t>Data Flow</w:t>
      </w:r>
    </w:p>
    <w:p>
      <w:pPr>
        <w:spacing w:before="120" w:after="120"/>
        <w:jc w:val="center"/>
      </w:pPr>
      <w:r>
        <w:rPr>
          <w:rFonts w:ascii="Consolas" w:hAnsi="Consolas"/>
          <w:color w:val="5878A0"/>
          <w:sz w:val="19"/>
        </w:rPr>
        <w:t>Spreadsheet (React UI)</w:t>
        <w:br/>
      </w:r>
      <w:r>
        <w:rPr>
          <w:rFonts w:ascii="Consolas" w:hAnsi="Consolas"/>
          <w:color w:val="5878A0"/>
          <w:sz w:val="19"/>
        </w:rPr>
        <w:t>│</w:t>
        <w:br/>
      </w:r>
      <w:r>
        <w:rPr>
          <w:rFonts w:ascii="Consolas" w:hAnsi="Consolas"/>
          <w:color w:val="5878A0"/>
          <w:sz w:val="19"/>
        </w:rPr>
        <w:t>▼</w:t>
        <w:br/>
      </w:r>
      <w:r>
        <w:rPr>
          <w:rFonts w:ascii="Consolas" w:hAnsi="Consolas"/>
          <w:b/>
          <w:color w:val="1565D8"/>
          <w:sz w:val="19"/>
        </w:rPr>
        <w:t>workflow.json  ◄── the single source of truth</w:t>
        <w:br/>
      </w:r>
      <w:r>
        <w:rPr>
          <w:rFonts w:ascii="Consolas" w:hAnsi="Consolas"/>
          <w:color w:val="5878A0"/>
          <w:sz w:val="19"/>
        </w:rPr>
        <w:t>│</w:t>
        <w:br/>
      </w:r>
      <w:r>
        <w:rPr>
          <w:rFonts w:ascii="Consolas" w:hAnsi="Consolas"/>
          <w:color w:val="5878A0"/>
          <w:sz w:val="19"/>
        </w:rPr>
        <w:t>┌────────┼────────────────┐</w:t>
        <w:br/>
      </w:r>
      <w:r>
        <w:rPr>
          <w:rFonts w:ascii="Consolas" w:hAnsi="Consolas"/>
          <w:color w:val="5878A0"/>
          <w:sz w:val="19"/>
        </w:rPr>
        <w:t>▼              ▼                        ▼</w:t>
        <w:br/>
      </w:r>
      <w:r>
        <w:rPr>
          <w:rFonts w:ascii="Consolas" w:hAnsi="Consolas"/>
          <w:color w:val="5878A0"/>
          <w:sz w:val="19"/>
        </w:rPr>
        <w:t>Diagram      PRD (.md)        M-Files Vault</w:t>
        <w:br/>
      </w:r>
      <w:r>
        <w:rPr>
          <w:rFonts w:ascii="Consolas" w:hAnsi="Consolas"/>
          <w:color w:val="5878A0"/>
          <w:sz w:val="19"/>
        </w:rPr>
        <w:t>(Mermaid)    (NLP output)     (COM API)</w:t>
        <w:br/>
      </w:r>
    </w:p>
    <w:p>
      <w:pPr>
        <w:pStyle w:val="Heading2"/>
      </w:pPr>
      <w:r>
        <w:rPr>
          <w:rFonts w:ascii="Calibri" w:hAnsi="Calibri"/>
          <w:color w:val="1565D8"/>
          <w:sz w:val="32"/>
        </w:rPr>
        <w:t>How It Works</w:t>
      </w:r>
    </w:p>
    <w:p>
      <w:pPr>
        <w:spacing w:before="160" w:after="40"/>
      </w:pPr>
      <w:r>
        <w:rPr>
          <w:b/>
          <w:color w:val="FFFFFF"/>
          <w:sz w:val="22"/>
          <w:highlight w:val="blue"/>
        </w:rPr>
        <w:t xml:space="preserve">  1  </w:t>
      </w:r>
      <w:r>
        <w:rPr>
          <w:rFonts w:ascii="Calibri" w:hAnsi="Calibri"/>
          <w:b/>
          <w:color w:val="1565D8"/>
          <w:sz w:val="24"/>
        </w:rPr>
        <w:t xml:space="preserve">   SOW Editor</w:t>
      </w:r>
    </w:p>
    <w:p>
      <w:pPr>
        <w:spacing w:after="200"/>
        <w:ind w:left="432"/>
      </w:pPr>
      <w:r>
        <w:rPr>
          <w:rFonts w:ascii="Calibri" w:hAnsi="Calibri"/>
          <w:color w:val="666666"/>
          <w:sz w:val="20"/>
        </w:rPr>
        <w:t>Define states, transitions, users, and properties in a structured spreadsheet. A live Mermaid diagram renders in real time as you type. If the logic looks wrong in the picture, you fix it in the spreadsheet — immediately.</w:t>
      </w:r>
    </w:p>
    <w:p>
      <w:pPr>
        <w:spacing w:before="160" w:after="40"/>
      </w:pPr>
      <w:r>
        <w:rPr>
          <w:b/>
          <w:color w:val="FFFFFF"/>
          <w:sz w:val="22"/>
          <w:highlight w:val="blue"/>
        </w:rPr>
        <w:t xml:space="preserve">  2  </w:t>
      </w:r>
      <w:r>
        <w:rPr>
          <w:rFonts w:ascii="Calibri" w:hAnsi="Calibri"/>
          <w:b/>
          <w:color w:val="1565D8"/>
          <w:sz w:val="24"/>
        </w:rPr>
        <w:t xml:space="preserve">   Generate PRD</w:t>
      </w:r>
    </w:p>
    <w:p>
      <w:pPr>
        <w:spacing w:after="200"/>
        <w:ind w:left="432"/>
      </w:pPr>
      <w:r>
        <w:rPr>
          <w:rFonts w:ascii="Calibri" w:hAnsi="Calibri"/>
          <w:color w:val="666666"/>
          <w:sz w:val="20"/>
        </w:rPr>
        <w:t>Local NLP (regex + pattern matching) transforms the technical spreadsheet data into a client-ready Product Requirements Document. An AI-enhanced option via Claude is available for more complex narrative requirements.</w:t>
      </w:r>
    </w:p>
    <w:p>
      <w:pPr>
        <w:spacing w:before="160" w:after="40"/>
      </w:pPr>
      <w:r>
        <w:rPr>
          <w:b/>
          <w:color w:val="FFFFFF"/>
          <w:sz w:val="22"/>
          <w:highlight w:val="blue"/>
        </w:rPr>
        <w:t xml:space="preserve">  3  </w:t>
      </w:r>
      <w:r>
        <w:rPr>
          <w:rFonts w:ascii="Calibri" w:hAnsi="Calibri"/>
          <w:b/>
          <w:color w:val="1565D8"/>
          <w:sz w:val="24"/>
        </w:rPr>
        <w:t xml:space="preserve">   Ingest Workflow</w:t>
      </w:r>
    </w:p>
    <w:p>
      <w:pPr>
        <w:spacing w:after="200"/>
        <w:ind w:left="432"/>
      </w:pPr>
      <w:r>
        <w:rPr>
          <w:rFonts w:ascii="Calibri" w:hAnsi="Calibri"/>
          <w:color w:val="666666"/>
          <w:sz w:val="20"/>
        </w:rPr>
        <w:t>The COM API takes the workflow JSON and writes the structure directly into the M-Files Vault — states, transitions, and aliases — in seconds. The consultant then opens M-Files Admin and adds only the business rules and conditions.</w:t>
      </w:r>
    </w:p>
    <w:p>
      <w:pPr>
        <w:pStyle w:val="Heading1"/>
      </w:pPr>
      <w:r>
        <w:rPr>
          <w:rFonts w:ascii="Calibri" w:hAnsi="Calibri"/>
          <w:color w:val="1565D8"/>
          <w:sz w:val="44"/>
        </w:rPr>
        <w:t>Why This Is a Game-Changer</w:t>
      </w:r>
    </w:p>
    <w:p>
      <w:pPr>
        <w:spacing w:before="120" w:after="80"/>
      </w:pPr>
      <w:r>
        <w:rPr>
          <w:rFonts w:ascii="Calibri" w:hAnsi="Calibri"/>
          <w:b/>
          <w:color w:val="1565D8"/>
          <w:sz w:val="24"/>
        </w:rPr>
        <w:t>🎯  Zero Redundancy</w:t>
      </w:r>
    </w:p>
    <w:p>
      <w:pPr>
        <w:spacing w:after="200"/>
        <w:ind w:left="432"/>
      </w:pPr>
      <w:r>
        <w:rPr>
          <w:rFonts w:ascii="Calibri" w:hAnsi="Calibri"/>
          <w:color w:val="666666"/>
          <w:sz w:val="20"/>
        </w:rPr>
        <w:t>Build the SOW once. The diagram, PRD, JSON, and vault configuration are all byproducts of that single effort. No remapping. No re-entry. No copy-paste.</w:t>
      </w:r>
    </w:p>
    <w:p>
      <w:pPr>
        <w:spacing w:before="120" w:after="80"/>
      </w:pPr>
      <w:r>
        <w:rPr>
          <w:rFonts w:ascii="Calibri" w:hAnsi="Calibri"/>
          <w:b/>
          <w:color w:val="1565D8"/>
          <w:sz w:val="24"/>
        </w:rPr>
        <w:t>🔒  Zero Drift</w:t>
      </w:r>
    </w:p>
    <w:p>
      <w:pPr>
        <w:spacing w:after="200"/>
        <w:ind w:left="432"/>
      </w:pPr>
      <w:r>
        <w:rPr>
          <w:rFonts w:ascii="Calibri" w:hAnsi="Calibri"/>
          <w:color w:val="666666"/>
          <w:sz w:val="20"/>
        </w:rPr>
        <w:t>The diagram and vault are generated from the same source. They cannot go out of sync. What the client approved is exactly what gets built.</w:t>
      </w:r>
    </w:p>
    <w:p>
      <w:pPr>
        <w:spacing w:before="120" w:after="80"/>
      </w:pPr>
      <w:r>
        <w:rPr>
          <w:rFonts w:ascii="Calibri" w:hAnsi="Calibri"/>
          <w:b/>
          <w:color w:val="1565D8"/>
          <w:sz w:val="24"/>
        </w:rPr>
        <w:t>✅  Zero Fat-Finger Errors</w:t>
      </w:r>
    </w:p>
    <w:p>
      <w:pPr>
        <w:spacing w:after="200"/>
        <w:ind w:left="432"/>
      </w:pPr>
      <w:r>
        <w:rPr>
          <w:rFonts w:ascii="Calibri" w:hAnsi="Calibri"/>
          <w:color w:val="666666"/>
          <w:sz w:val="20"/>
        </w:rPr>
        <w:t>Manual data entry into M-Files Admin is replaced by automated ingestion. 11 states in the SOW = exactly 11 states in the vault. No typos, no missed connections.</w:t>
      </w:r>
    </w:p>
    <w:p>
      <w:pPr>
        <w:spacing w:before="120" w:after="80"/>
      </w:pPr>
      <w:r>
        <w:rPr>
          <w:rFonts w:ascii="Calibri" w:hAnsi="Calibri"/>
          <w:b/>
          <w:color w:val="1565D8"/>
          <w:sz w:val="24"/>
        </w:rPr>
        <w:t>⚡  Instant Iteration</w:t>
      </w:r>
    </w:p>
    <w:p>
      <w:pPr>
        <w:spacing w:after="200"/>
        <w:ind w:left="432"/>
      </w:pPr>
      <w:r>
        <w:rPr>
          <w:rFonts w:ascii="Calibri" w:hAnsi="Calibri"/>
          <w:color w:val="666666"/>
          <w:sz w:val="20"/>
        </w:rPr>
        <w:t>Customer changes their mind about a 'Review' state? Change one cell in the spreadsheet. The diagram, PRD, and vault configuration all update. What took an hour now takes seconds.</w:t>
      </w:r>
    </w:p>
    <w:p>
      <w:pPr>
        <w:spacing w:before="120" w:after="80"/>
      </w:pPr>
      <w:r>
        <w:rPr>
          <w:rFonts w:ascii="Calibri" w:hAnsi="Calibri"/>
          <w:b/>
          <w:color w:val="1565D8"/>
          <w:sz w:val="24"/>
        </w:rPr>
        <w:t>🤝  Client Transparency</w:t>
      </w:r>
    </w:p>
    <w:p>
      <w:pPr>
        <w:spacing w:after="200"/>
        <w:ind w:left="432"/>
      </w:pPr>
      <w:r>
        <w:rPr>
          <w:rFonts w:ascii="Calibri" w:hAnsi="Calibri"/>
          <w:color w:val="666666"/>
          <w:sz w:val="20"/>
        </w:rPr>
        <w:t>Clients see a clean, professional workflow diagram early in the engagement — tied directly to the SOW they signed. No gap between promise and delivery.</w:t>
      </w:r>
    </w:p>
    <w:p>
      <w:pPr>
        <w:spacing w:before="120" w:after="80"/>
      </w:pPr>
      <w:r>
        <w:rPr>
          <w:rFonts w:ascii="Calibri" w:hAnsi="Calibri"/>
          <w:b/>
          <w:color w:val="1565D8"/>
          <w:sz w:val="24"/>
        </w:rPr>
        <w:t>🚀  Consultant Productivity</w:t>
      </w:r>
    </w:p>
    <w:p>
      <w:pPr>
        <w:spacing w:after="200"/>
        <w:ind w:left="432"/>
      </w:pPr>
      <w:r>
        <w:rPr>
          <w:rFonts w:ascii="Calibri" w:hAnsi="Calibri"/>
          <w:color w:val="666666"/>
          <w:sz w:val="20"/>
        </w:rPr>
        <w:t>Stop spending time on mechanical data entry. Start spending time on what matters: business rules, permissions, and client-specific logic. Proviso handles the scaffolding — the consultant handles the intelligence.</w:t>
      </w:r>
    </w:p>
    <w:p>
      <w:pPr>
        <w:pStyle w:val="Heading1"/>
      </w:pPr>
      <w:r>
        <w:rPr>
          <w:rFonts w:ascii="Calibri" w:hAnsi="Calibri"/>
          <w:color w:val="1565D8"/>
          <w:sz w:val="44"/>
        </w:rPr>
        <w:t>Time Savings Estimate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TASK</w:t>
            </w:r>
          </w:p>
        </w:tc>
        <w:tc>
          <w:tcPr>
            <w:tcW w:type="dxa" w:w="234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BEFORE (MANUAL)</w:t>
            </w:r>
          </w:p>
        </w:tc>
        <w:tc>
          <w:tcPr>
            <w:tcW w:type="dxa" w:w="234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AFTER (PROVISO)</w:t>
            </w:r>
          </w:p>
        </w:tc>
        <w:tc>
          <w:tcPr>
            <w:tcW w:type="dxa" w:w="234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SAVED</w:t>
            </w:r>
          </w:p>
        </w:tc>
      </w:tr>
      <w:tr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Define workflow states + transitions</w:t>
            </w:r>
          </w:p>
        </w:tc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45–60 min</w:t>
            </w:r>
          </w:p>
        </w:tc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5 min</w:t>
            </w:r>
          </w:p>
        </w:tc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b/>
                <w:color w:val="00C870"/>
                <w:sz w:val="19"/>
              </w:rPr>
              <w:t>~50 min</w:t>
            </w:r>
          </w:p>
        </w:tc>
      </w:tr>
      <w:tr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Draw workflow diagram</w:t>
            </w:r>
          </w:p>
        </w:tc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30–45 min</w:t>
            </w:r>
          </w:p>
        </w:tc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0 min (auto)</w:t>
            </w:r>
          </w:p>
        </w:tc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b/>
                <w:color w:val="00C870"/>
                <w:sz w:val="19"/>
              </w:rPr>
              <w:t>~35 min</w:t>
            </w:r>
          </w:p>
        </w:tc>
      </w:tr>
      <w:tr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Write PRD documentation</w:t>
            </w:r>
          </w:p>
        </w:tc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60–90 min</w:t>
            </w:r>
          </w:p>
        </w:tc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1 min (NLP)</w:t>
            </w:r>
          </w:p>
        </w:tc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b/>
                <w:color w:val="00C870"/>
                <w:sz w:val="19"/>
              </w:rPr>
              <w:t>~75 min</w:t>
            </w:r>
          </w:p>
        </w:tc>
      </w:tr>
      <w:tr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Configure M-Files Admin</w:t>
            </w:r>
          </w:p>
        </w:tc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60–120 min</w:t>
            </w:r>
          </w:p>
        </w:tc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30 sec (COM API)</w:t>
            </w:r>
          </w:p>
        </w:tc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b/>
                <w:color w:val="00C870"/>
                <w:sz w:val="19"/>
              </w:rPr>
              <w:t>~90 min</w:t>
            </w:r>
          </w:p>
        </w:tc>
      </w:tr>
      <w:tr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Rework after client changes</w:t>
            </w:r>
          </w:p>
        </w:tc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30–60 min/change</w:t>
            </w:r>
          </w:p>
        </w:tc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2 min/change</w:t>
            </w:r>
          </w:p>
        </w:tc>
        <w:tc>
          <w:tcPr>
            <w:tcW w:type="dxa" w:w="234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b/>
                <w:color w:val="00C870"/>
                <w:sz w:val="19"/>
              </w:rPr>
              <w:t>~45 min</w:t>
            </w:r>
          </w:p>
        </w:tc>
      </w:tr>
      <w:tr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TOTAL PER WORKFLOW</w:t>
            </w:r>
          </w:p>
        </w:tc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4–6 hours</w:t>
            </w:r>
          </w:p>
        </w:tc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~10 minutes</w:t>
            </w:r>
          </w:p>
        </w:tc>
        <w:tc>
          <w:tcPr>
            <w:tcW w:type="dxa" w:w="234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b/>
                <w:color w:val="00C870"/>
                <w:sz w:val="19"/>
              </w:rPr>
              <w:t>~5 HOURS</w:t>
            </w:r>
          </w:p>
        </w:tc>
      </w:tr>
    </w:tbl>
    <w:p/>
    <w:p>
      <w:pPr>
        <w:spacing w:after="160" w:line="360" w:lineRule="exact"/>
      </w:pPr>
      <w:r>
        <w:rPr>
          <w:rFonts w:ascii="Calibri" w:hAnsi="Calibri"/>
          <w:color w:val="1A1A2E"/>
          <w:sz w:val="21"/>
        </w:rPr>
        <w:t xml:space="preserve">For a typical project with 2–3 workflows, that's </w:t>
      </w:r>
      <w:r>
        <w:rPr>
          <w:rFonts w:ascii="Calibri" w:hAnsi="Calibri"/>
          <w:b/>
          <w:color w:val="1565D8"/>
          <w:sz w:val="21"/>
        </w:rPr>
        <w:t>10–15 hours saved per engagement.</w:t>
      </w:r>
      <w:r>
        <w:rPr>
          <w:rFonts w:ascii="Calibri" w:hAnsi="Calibri"/>
          <w:color w:val="1A1A2E"/>
          <w:sz w:val="21"/>
        </w:rPr>
      </w:r>
    </w:p>
    <w:p>
      <w:pPr>
        <w:pStyle w:val="Heading1"/>
      </w:pPr>
      <w:r>
        <w:rPr>
          <w:rFonts w:ascii="Calibri" w:hAnsi="Calibri"/>
          <w:color w:val="1565D8"/>
          <w:sz w:val="44"/>
        </w:rPr>
        <w:t>Phase I Scope</w:t>
      </w:r>
    </w:p>
    <w:p>
      <w:pPr>
        <w:spacing w:after="160" w:line="360" w:lineRule="exact"/>
      </w:pPr>
      <w:r>
        <w:rPr>
          <w:rFonts w:ascii="Calibri" w:hAnsi="Calibri"/>
          <w:color w:val="1A1A2E"/>
          <w:sz w:val="21"/>
        </w:rPr>
        <w:t xml:space="preserve">This proof of concept focuses on the </w:t>
      </w:r>
      <w:r>
        <w:rPr>
          <w:rFonts w:ascii="Calibri" w:hAnsi="Calibri"/>
          <w:b/>
          <w:color w:val="1565D8"/>
          <w:sz w:val="21"/>
        </w:rPr>
        <w:t>backbone</w:t>
      </w:r>
      <w:r>
        <w:rPr>
          <w:rFonts w:ascii="Calibri" w:hAnsi="Calibri"/>
          <w:color w:val="1A1A2E"/>
          <w:sz w:val="21"/>
        </w:rPr>
        <w:t xml:space="preserve"> — ensuring that a state defined in the editor successfully appears as a state in the vault.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IN SCOPE (PHASE I)</w:t>
            </w:r>
          </w:p>
        </w:tc>
        <w:tc>
          <w:tcPr>
            <w:tcW w:type="dxa" w:w="468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OUT OF SCOPE (PHASE II)</w:t>
            </w:r>
          </w:p>
        </w:tc>
      </w:tr>
      <w:tr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✅  Workflow creation</w:t>
            </w:r>
          </w:p>
        </w:tc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Phase II — Business rules / conditions</w:t>
            </w:r>
          </w:p>
        </w:tc>
      </w:tr>
      <w:tr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✅  State definitions</w:t>
            </w:r>
          </w:p>
        </w:tc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Phase II — Automatic state transitions</w:t>
            </w:r>
          </w:p>
        </w:tc>
      </w:tr>
      <w:tr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✅  Transition mapping</w:t>
            </w:r>
          </w:p>
        </w:tc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Phase II — Permission assignments</w:t>
            </w:r>
          </w:p>
        </w:tc>
      </w:tr>
      <w:tr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✅  Alias assignment</w:t>
            </w:r>
          </w:p>
        </w:tc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Phase II — Script-based triggers</w:t>
            </w:r>
          </w:p>
        </w:tc>
      </w:tr>
      <w:tr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✅  Live diagram preview</w:t>
            </w:r>
          </w:p>
        </w:tc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Phase II — Multi-workflow orchestration</w:t>
            </w:r>
          </w:p>
        </w:tc>
      </w:tr>
      <w:tr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✅  PRD generation (NLP + AI)</w:t>
            </w:r>
          </w:p>
        </w:tc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Phase II — Class / object type creation</w:t>
            </w:r>
          </w:p>
        </w:tc>
      </w:tr>
    </w:tbl>
    <w:p>
      <w:pPr>
        <w:pStyle w:val="Heading1"/>
      </w:pPr>
      <w:r>
        <w:rPr>
          <w:rFonts w:ascii="Calibri" w:hAnsi="Calibri"/>
          <w:color w:val="1565D8"/>
          <w:sz w:val="44"/>
        </w:rPr>
        <w:t>Technology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COMPONENT</w:t>
            </w:r>
          </w:p>
        </w:tc>
        <w:tc>
          <w:tcPr>
            <w:tcW w:type="dxa" w:w="4680"/>
            <w:shd w:fill="0A1828" w:val="clear"/>
            <w:tcBorders>
              <w:bottom w:val="single" w:sz="4" w:color="DEE5EF" w:space="0"/>
            </w:tcBorders>
          </w:tcPr>
          <w:p>
            <w:pPr>
              <w:jc w:val="left"/>
            </w:pPr>
            <w:r/>
            <w:r>
              <w:rPr>
                <w:rFonts w:ascii="Consolas" w:hAnsi="Consolas"/>
                <w:b/>
                <w:color w:val="4A9FFF"/>
                <w:sz w:val="16"/>
              </w:rPr>
              <w:t>STACK</w:t>
            </w:r>
          </w:p>
        </w:tc>
      </w:tr>
      <w:tr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Frontend</w:t>
            </w:r>
          </w:p>
        </w:tc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React 18 · Vite · Mermaid.js</w:t>
            </w:r>
          </w:p>
        </w:tc>
      </w:tr>
      <w:tr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Data Format</w:t>
            </w:r>
          </w:p>
        </w:tc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JSON — spreadsheet converts to workflow.json, driving diagram, PRD, and vault</w:t>
            </w:r>
          </w:p>
        </w:tc>
      </w:tr>
      <w:tr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PRD Output</w:t>
            </w:r>
          </w:p>
        </w:tc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Markdown (.md) — generated from JSON by NLP engine</w:t>
            </w:r>
          </w:p>
        </w:tc>
      </w:tr>
      <w:tr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PRD Engine</w:t>
            </w:r>
          </w:p>
        </w:tc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Local NLP (regex + pattern matching) · Claude AI (optional)</w:t>
            </w:r>
          </w:p>
        </w:tc>
      </w:tr>
      <w:tr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Vault Ingestion</w:t>
            </w:r>
          </w:p>
        </w:tc>
        <w:tc>
          <w:tcPr>
            <w:tcW w:type="dxa" w:w="4680"/>
            <w:shd w:fill="F5F8FC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Python · Flask · pywin32 · M-Files COM API</w:t>
            </w:r>
          </w:p>
        </w:tc>
      </w:tr>
      <w:tr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666666"/>
                <w:sz w:val="19"/>
              </w:rPr>
              <w:t>Hosting (demo)</w:t>
            </w:r>
          </w:p>
        </w:tc>
        <w:tc>
          <w:tcPr>
            <w:tcW w:type="dxa" w:w="4680"/>
            <w:shd w:fill="FFFFFF" w:val="clear"/>
            <w:tcBorders>
              <w:bottom w:val="single" w:sz="4" w:color="DEE5EF" w:space="0"/>
            </w:tcBorders>
          </w:tcPr>
          <w:p>
            <w:r/>
            <w:r>
              <w:rPr>
                <w:rFonts w:ascii="Calibri" w:hAnsi="Calibri"/>
                <w:color w:val="1A1A2E"/>
                <w:sz w:val="19"/>
              </w:rPr>
              <w:t>Vercel</w:t>
            </w:r>
          </w:p>
        </w:tc>
      </w:tr>
    </w:tbl>
    <w:p>
      <w:pPr>
        <w:spacing w:before="400"/>
        <w:jc w:val="center"/>
      </w:pPr>
      <w:r>
        <w:rPr>
          <w:color w:val="DEE5EF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rFonts w:ascii="Calibri" w:hAnsi="Calibri"/>
          <w:color w:val="666666"/>
          <w:sz w:val="22"/>
        </w:rPr>
        <w:t xml:space="preserve">▸ Live Demo → </w:t>
      </w:r>
      <w:r>
        <w:rPr>
          <w:rFonts w:ascii="Consolas" w:hAnsi="Consolas"/>
          <w:b/>
          <w:color w:val="00C870"/>
          <w:sz w:val="22"/>
        </w:rPr>
        <w:t>provisio-theta.vercel.app</w:t>
      </w:r>
    </w:p>
    <w:p>
      <w:pPr>
        <w:jc w:val="center"/>
      </w:pPr>
      <w:r>
        <w:rPr>
          <w:rFonts w:ascii="Consolas" w:hAnsi="Consolas"/>
          <w:color w:val="5878A0"/>
          <w:sz w:val="18"/>
        </w:rPr>
        <w:t>Author: Harry Joseph  ·  Phase I POC  ·  May 2026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