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FieldOps IA · Anexos A–I del Plan Maestro CAIO</w:t>
      </w:r>
    </w:p>
    <w:p>
      <w:pPr/>
      <w:r>
        <w:t xml:space="preserve">Oct 23, 2026</w:t>
      </w:r>
      <w:r>
        <w:t xml:space="preserve"> · </w:t>
      </w:r>
      <w:r>
        <w:t xml:space="preserve">@Lo</w:t>
      </w:r>
    </w:p>
    <w:p>
      <w:pPr>
        <w:pStyle w:val="Heading2"/>
      </w:pPr>
      <w:r>
        <w:t xml:space="preserve">Cómo leer estos anexos</w:t>
      </w:r>
    </w:p>
    <w:p>
      <w:pPr/>
      <w:r>
        <w:t xml:space="preserve">Los anexos A a I respaldan cada cifra y cada decisión de la presentación al board de noviembre 2026. Todas las cifras salen de un único modelo financiero (anexo B): flujos trimestrales en 2027, anuales de 2028 a 2031, en USD constantes y antes de impuestos salvo aclaración. Austral Conecta S.A. es una empresa ficticia.</w:t>
      </w:r>
    </w:p>
    <w:tbl>
      <w:tblPr>
        <w:tblStyle w:val="TableGrid"/>
        <w:tblW w:w="0" w:type="auto"/>
        <w:tblLayout w:type="fixed"/>
        <w:tblLook w:val="04A0" w:firstRow="1" w:lastRow="0" w:firstColumn="0" w:lastColumn="0" w:noHBand="0" w:noVBand="1"/>
      </w:tblPr>
      <w:tblGrid>
        <w:gridCol w:w="1036"/>
        <w:gridCol w:w="5869"/>
        <w:gridCol w:w="2453"/>
      </w:tblGrid>
      <w:tr>
        <w:trPr>
          <w:tblHeader/>
        </w:trPr>
        <w:tc>
          <w:tcPr>
            <w:tcW w:w="1036" w:type="dxa"/>
            <w:shd w:val="clear" w:color="auto" w:fill="F2F2F2"/>
          </w:tcPr>
          <w:p>
            <w:pPr/>
            <w:r>
              <w:t xml:space="preserve">Anexo</w:t>
            </w:r>
          </w:p>
        </w:tc>
        <w:tc>
          <w:tcPr>
            <w:tcW w:w="5869" w:type="dxa"/>
            <w:shd w:val="clear" w:color="auto" w:fill="F2F2F2"/>
          </w:tcPr>
          <w:p>
            <w:pPr/>
            <w:r>
              <w:t xml:space="preserve">Contenido</w:t>
            </w:r>
          </w:p>
        </w:tc>
        <w:tc>
          <w:tcPr>
            <w:tcW w:w="2453" w:type="dxa"/>
            <w:shd w:val="clear" w:color="auto" w:fill="F2F2F2"/>
          </w:tcPr>
          <w:p>
            <w:pPr/>
            <w:r>
              <w:t xml:space="preserve">Respalda el slide</w:t>
            </w:r>
          </w:p>
        </w:tc>
      </w:tr>
      <w:tr>
        <w:tc>
          <w:tcPr>
            <w:tcW w:w="1036" w:type="dxa"/>
          </w:tcPr>
          <w:p>
            <w:pPr/>
            <w:r>
              <w:t xml:space="preserve">A</w:t>
            </w:r>
          </w:p>
        </w:tc>
        <w:tc>
          <w:tcPr>
            <w:tcW w:w="5869" w:type="dxa"/>
          </w:tcPr>
          <w:p>
            <w:pPr/>
            <w:r>
              <w:t xml:space="preserve">Diagnóstico, madurez, mapa de apoyos, equipo y RACI</w:t>
            </w:r>
          </w:p>
        </w:tc>
        <w:tc>
          <w:tcPr>
            <w:tcW w:w="2453" w:type="dxa"/>
          </w:tcPr>
          <w:p>
            <w:pPr/>
            <w:r>
              <w:t xml:space="preserve">2</w:t>
            </w:r>
          </w:p>
        </w:tc>
      </w:tr>
      <w:tr>
        <w:tc>
          <w:tcPr>
            <w:tcW w:w="1036" w:type="dxa"/>
          </w:tcPr>
          <w:p>
            <w:pPr/>
            <w:r>
              <w:t xml:space="preserve">B</w:t>
            </w:r>
          </w:p>
        </w:tc>
        <w:tc>
          <w:tcPr>
            <w:tcW w:w="5869" w:type="dxa"/>
          </w:tcPr>
          <w:p>
            <w:pPr/>
            <w:r>
              <w:t xml:space="preserve">Pérdida, palancas, puente bruto a neto, inversión, 5 años, sensibilidad</w:t>
            </w:r>
          </w:p>
        </w:tc>
        <w:tc>
          <w:tcPr>
            <w:tcW w:w="2453" w:type="dxa"/>
          </w:tcPr>
          <w:p>
            <w:pPr/>
            <w:r>
              <w:t xml:space="preserve">1, 3, 4, 5, 8</w:t>
            </w:r>
          </w:p>
        </w:tc>
      </w:tr>
      <w:tr>
        <w:tc>
          <w:tcPr>
            <w:tcW w:w="1036" w:type="dxa"/>
          </w:tcPr>
          <w:p>
            <w:pPr/>
            <w:r>
              <w:t xml:space="preserve">C</w:t>
            </w:r>
          </w:p>
        </w:tc>
        <w:tc>
          <w:tcPr>
            <w:tcW w:w="5869" w:type="dxa"/>
          </w:tcPr>
          <w:p>
            <w:pPr/>
            <w:r>
              <w:t xml:space="preserve">Arquitectura, flujo de decisión tipado, trazabilidad, datos</w:t>
            </w:r>
          </w:p>
        </w:tc>
        <w:tc>
          <w:tcPr>
            <w:tcW w:w="2453" w:type="dxa"/>
          </w:tcPr>
          <w:p>
            <w:pPr/>
            <w:r>
              <w:t xml:space="preserve">6</w:t>
            </w:r>
          </w:p>
        </w:tc>
      </w:tr>
      <w:tr>
        <w:tc>
          <w:tcPr>
            <w:tcW w:w="1036" w:type="dxa"/>
          </w:tcPr>
          <w:p>
            <w:pPr/>
            <w:r>
              <w:t xml:space="preserve">D</w:t>
            </w:r>
          </w:p>
        </w:tc>
        <w:tc>
          <w:tcPr>
            <w:tcW w:w="5869" w:type="dxa"/>
          </w:tcPr>
          <w:p>
            <w:pPr/>
            <w:r>
              <w:t xml:space="preserve">Escalera de autonomía, matriz de decisión, comité de IA</w:t>
            </w:r>
          </w:p>
        </w:tc>
        <w:tc>
          <w:tcPr>
            <w:tcW w:w="2453" w:type="dxa"/>
          </w:tcPr>
          <w:p>
            <w:pPr/>
            <w:r>
              <w:t xml:space="preserve">7</w:t>
            </w:r>
          </w:p>
        </w:tc>
      </w:tr>
      <w:tr>
        <w:tc>
          <w:tcPr>
            <w:tcW w:w="1036" w:type="dxa"/>
          </w:tcPr>
          <w:p>
            <w:pPr/>
            <w:r>
              <w:t xml:space="preserve">E</w:t>
            </w:r>
          </w:p>
        </w:tc>
        <w:tc>
          <w:tcPr>
            <w:tcW w:w="5869" w:type="dxa"/>
          </w:tcPr>
          <w:p>
            <w:pPr/>
            <w:r>
              <w:t xml:space="preserve">Seguridad, grupo de control, Ley 25.326 y Convenio 108+</w:t>
            </w:r>
          </w:p>
        </w:tc>
        <w:tc>
          <w:tcPr>
            <w:tcW w:w="2453" w:type="dxa"/>
          </w:tcPr>
          <w:p>
            <w:pPr/>
            <w:r>
              <w:t xml:space="preserve">7</w:t>
            </w:r>
          </w:p>
        </w:tc>
      </w:tr>
      <w:tr>
        <w:tc>
          <w:tcPr>
            <w:tcW w:w="1036" w:type="dxa"/>
          </w:tcPr>
          <w:p>
            <w:pPr/>
            <w:r>
              <w:t xml:space="preserve">F</w:t>
            </w:r>
          </w:p>
        </w:tc>
        <w:tc>
          <w:tcPr>
            <w:tcW w:w="5869" w:type="dxa"/>
          </w:tcPr>
          <w:p>
            <w:pPr/>
            <w:r>
              <w:t xml:space="preserve">Personas, contratistas, gremio y gestión del cambio</w:t>
            </w:r>
          </w:p>
        </w:tc>
        <w:tc>
          <w:tcPr>
            <w:tcW w:w="2453" w:type="dxa"/>
          </w:tcPr>
          <w:p>
            <w:pPr/>
            <w:r>
              <w:t xml:space="preserve">7, 9</w:t>
            </w:r>
          </w:p>
        </w:tc>
      </w:tr>
      <w:tr>
        <w:tc>
          <w:tcPr>
            <w:tcW w:w="1036" w:type="dxa"/>
          </w:tcPr>
          <w:p>
            <w:pPr/>
            <w:r>
              <w:t xml:space="preserve">G</w:t>
            </w:r>
          </w:p>
        </w:tc>
        <w:tc>
          <w:tcPr>
            <w:tcW w:w="5869" w:type="dxa"/>
          </w:tcPr>
          <w:p>
            <w:pPr/>
            <w:r>
              <w:t xml:space="preserve">Roadmap trimestral con gates medibles</w:t>
            </w:r>
          </w:p>
        </w:tc>
        <w:tc>
          <w:tcPr>
            <w:tcW w:w="2453" w:type="dxa"/>
          </w:tcPr>
          <w:p>
            <w:pPr/>
            <w:r>
              <w:t xml:space="preserve">9</w:t>
            </w:r>
          </w:p>
        </w:tc>
      </w:tr>
      <w:tr>
        <w:tc>
          <w:tcPr>
            <w:tcW w:w="1036" w:type="dxa"/>
          </w:tcPr>
          <w:p>
            <w:pPr/>
            <w:r>
              <w:t xml:space="preserve">H</w:t>
            </w:r>
          </w:p>
        </w:tc>
        <w:tc>
          <w:tcPr>
            <w:tcW w:w="5869" w:type="dxa"/>
          </w:tcPr>
          <w:p>
            <w:pPr/>
            <w:r>
              <w:t xml:space="preserve">Escenarios, gatillos y árbol de decisión</w:t>
            </w:r>
          </w:p>
        </w:tc>
        <w:tc>
          <w:tcPr>
            <w:tcW w:w="2453" w:type="dxa"/>
          </w:tcPr>
          <w:p>
            <w:pPr/>
            <w:r>
              <w:t xml:space="preserve">10</w:t>
            </w:r>
          </w:p>
        </w:tc>
      </w:tr>
      <w:tr>
        <w:tc>
          <w:tcPr>
            <w:tcW w:w="1036" w:type="dxa"/>
          </w:tcPr>
          <w:p>
            <w:pPr/>
            <w:r>
              <w:t xml:space="preserve">I</w:t>
            </w:r>
          </w:p>
        </w:tc>
        <w:tc>
          <w:tcPr>
            <w:tcW w:w="5869" w:type="dxa"/>
          </w:tcPr>
          <w:p>
            <w:pPr/>
            <w:r>
              <w:t xml:space="preserve">Ask, políticas a aprobar y primeros 30 días</w:t>
            </w:r>
          </w:p>
        </w:tc>
        <w:tc>
          <w:tcPr>
            <w:tcW w:w="2453" w:type="dxa"/>
          </w:tcPr>
          <w:p>
            <w:pPr/>
            <w:r>
              <w:t xml:space="preserve">1, 10</w:t>
            </w:r>
          </w:p>
        </w:tc>
      </w:tr>
    </w:tbl>
    <w:p>
      <w:pPr>
        <w:pStyle w:val="Heading3"/>
      </w:pPr>
      <w:r>
        <w:t xml:space="preserve">Cifras que cambian respecto de la presentación</w:t>
      </w:r>
    </w:p>
    <w:p>
      <w:pPr/>
      <w:r>
        <w:t xml:space="preserve">Al reconciliar el modelo, nueve puntos del deck se ajustan o se explicitan. Ninguna cambia la decisión; todas la vuelven auditable.</w:t>
      </w:r>
    </w:p>
    <w:tbl>
      <w:tblPr>
        <w:tblStyle w:val="TableGrid"/>
        <w:tblW w:w="0" w:type="auto"/>
        <w:tblLayout w:type="fixed"/>
        <w:tblLook w:val="04A0" w:firstRow="1" w:lastRow="0" w:firstColumn="0" w:lastColumn="0" w:noHBand="0" w:noVBand="1"/>
      </w:tblPr>
      <w:tblGrid>
        <w:gridCol w:w="2204"/>
        <w:gridCol w:w="1654"/>
        <w:gridCol w:w="2948"/>
        <w:gridCol w:w="2554"/>
      </w:tblGrid>
      <w:tr>
        <w:trPr>
          <w:tblHeader/>
        </w:trPr>
        <w:tc>
          <w:tcPr>
            <w:tcW w:w="2204" w:type="dxa"/>
            <w:shd w:val="clear" w:color="auto" w:fill="F2F2F2"/>
          </w:tcPr>
          <w:p>
            <w:pPr/>
            <w:r>
              <w:t xml:space="preserve">Concepto</w:t>
            </w:r>
          </w:p>
        </w:tc>
        <w:tc>
          <w:tcPr>
            <w:tcW w:w="1654" w:type="dxa"/>
            <w:shd w:val="clear" w:color="auto" w:fill="F2F2F2"/>
          </w:tcPr>
          <w:p>
            <w:pPr/>
            <w:r>
              <w:t xml:space="preserve">Deck</w:t>
            </w:r>
          </w:p>
        </w:tc>
        <w:tc>
          <w:tcPr>
            <w:tcW w:w="2948" w:type="dxa"/>
            <w:shd w:val="clear" w:color="auto" w:fill="F2F2F2"/>
          </w:tcPr>
          <w:p>
            <w:pPr/>
            <w:r>
              <w:t xml:space="preserve">Anexos</w:t>
            </w:r>
          </w:p>
        </w:tc>
        <w:tc>
          <w:tcPr>
            <w:tcW w:w="2554" w:type="dxa"/>
            <w:shd w:val="clear" w:color="auto" w:fill="F2F2F2"/>
          </w:tcPr>
          <w:p>
            <w:pPr/>
            <w:r>
              <w:t xml:space="preserve">Motivo</w:t>
            </w:r>
          </w:p>
        </w:tc>
      </w:tr>
      <w:tr>
        <w:tc>
          <w:tcPr>
            <w:tcW w:w="2204" w:type="dxa"/>
          </w:tcPr>
          <w:p>
            <w:pPr/>
            <w:r>
              <w:t xml:space="preserve">Captura de la pérdida a régimen</w:t>
            </w:r>
          </w:p>
        </w:tc>
        <w:tc>
          <w:tcPr>
            <w:tcW w:w="1654" w:type="dxa"/>
          </w:tcPr>
          <w:p>
            <w:pPr/>
            <w:r>
              <w:t xml:space="preserve">~40%</w:t>
            </w:r>
          </w:p>
        </w:tc>
        <w:tc>
          <w:tcPr>
            <w:tcW w:w="2948" w:type="dxa"/>
          </w:tcPr>
          <w:p>
            <w:pPr/>
            <w:r>
              <w:t xml:space="preserve">34% neto (39% bruto)</w:t>
            </w:r>
          </w:p>
        </w:tc>
        <w:tc>
          <w:tcPr>
            <w:tcW w:w="2554" w:type="dxa"/>
          </w:tcPr>
          <w:p>
            <w:pPr/>
            <w:r>
              <w:t xml:space="preserve">8,8 / 25,6 = 34%; el 40% era sobre beneficio bruto</w:t>
            </w:r>
          </w:p>
        </w:tc>
      </w:tr>
      <w:tr>
        <w:tc>
          <w:tcPr>
            <w:tcW w:w="2204" w:type="dxa"/>
          </w:tcPr>
          <w:p>
            <w:pPr/>
            <w:r>
              <w:t xml:space="preserve">Contingencia</w:t>
            </w:r>
          </w:p>
        </w:tc>
        <w:tc>
          <w:tcPr>
            <w:tcW w:w="1654" w:type="dxa"/>
          </w:tcPr>
          <w:p>
            <w:pPr/>
            <w:r>
              <w:t xml:space="preserve">"cada trimestre suma 15%"</w:t>
            </w:r>
          </w:p>
        </w:tc>
        <w:tc>
          <w:tcPr>
            <w:tcW w:w="2948" w:type="dxa"/>
          </w:tcPr>
          <w:p>
            <w:pPr/>
            <w:r>
              <w:t xml:space="preserve">Incluida en los USD 5,4 M: 4,71 de componentes + 0,69 de contingencia</w:t>
            </w:r>
          </w:p>
        </w:tc>
        <w:tc>
          <w:tcPr>
            <w:tcW w:w="2554" w:type="dxa"/>
          </w:tcPr>
          <w:p>
            <w:pPr/>
            <w:r>
              <w:t xml:space="preserve">Los componentes del slide 8 suman 4,71 M</w:t>
            </w:r>
          </w:p>
        </w:tc>
      </w:tr>
      <w:tr>
        <w:tc>
          <w:tcPr>
            <w:tcW w:w="2204" w:type="dxa"/>
          </w:tcPr>
          <w:p>
            <w:pPr/>
            <w:r>
              <w:t xml:space="preserve">Flujo del año 1</w:t>
            </w:r>
          </w:p>
        </w:tc>
        <w:tc>
          <w:tcPr>
            <w:tcW w:w="1654" w:type="dxa"/>
          </w:tcPr>
          <w:p>
            <w:pPr/>
            <w:r>
              <w:t xml:space="preserve">−1,8 sin desglose</w:t>
            </w:r>
          </w:p>
        </w:tc>
        <w:tc>
          <w:tcPr>
            <w:tcW w:w="2948" w:type="dxa"/>
          </w:tcPr>
          <w:p>
            <w:pPr/>
            <w:r>
              <w:t xml:space="preserve">Beneficio bruto 4,4 − opex 0,8 − inversión 5,4 = −1,8</w:t>
            </w:r>
          </w:p>
        </w:tc>
        <w:tc>
          <w:tcPr>
            <w:tcW w:w="2554" w:type="dxa"/>
          </w:tcPr>
          <w:p>
            <w:pPr/>
            <w:r>
              <w:t xml:space="preserve">El opex de operación de la IA no estaba visible</w:t>
            </w:r>
          </w:p>
        </w:tc>
      </w:tr>
      <w:tr>
        <w:tc>
          <w:tcPr>
            <w:tcW w:w="2204" w:type="dxa"/>
          </w:tcPr>
          <w:p>
            <w:pPr/>
            <w:r>
              <w:t xml:space="preserve">Run-rate al salir de Q4</w:t>
            </w:r>
          </w:p>
        </w:tc>
        <w:tc>
          <w:tcPr>
            <w:tcW w:w="1654" w:type="dxa"/>
          </w:tcPr>
          <w:p>
            <w:pPr/>
            <w:r>
              <w:t xml:space="preserve">"Q4: 2,2 M (8,8 M/año)"</w:t>
            </w:r>
          </w:p>
        </w:tc>
        <w:tc>
          <w:tcPr>
            <w:tcW w:w="2948" w:type="dxa"/>
          </w:tcPr>
          <w:p>
            <w:pPr/>
            <w:r>
              <w:t xml:space="preserve">Q4 promedia 2,2 M bruto; en diciembre el run-rate neto llega a 8,8 M/año</w:t>
            </w:r>
          </w:p>
        </w:tc>
        <w:tc>
          <w:tcPr>
            <w:tcW w:w="2554" w:type="dxa"/>
          </w:tcPr>
          <w:p>
            <w:pPr/>
            <w:r>
              <w:t xml:space="preserve">Q4 todavía rampea</w:t>
            </w:r>
          </w:p>
        </w:tc>
      </w:tr>
      <w:tr>
        <w:tc>
          <w:tcPr>
            <w:tcW w:w="2204" w:type="dxa"/>
          </w:tcPr>
          <w:p>
            <w:pPr/>
            <w:r>
              <w:t xml:space="preserve">VAN 5 años antes / después de impuestos</w:t>
            </w:r>
          </w:p>
        </w:tc>
        <w:tc>
          <w:tcPr>
            <w:tcW w:w="1654" w:type="dxa"/>
          </w:tcPr>
          <w:p>
            <w:pPr/>
            <w:r>
              <w:t xml:space="preserve">20,7 / 13,0</w:t>
            </w:r>
          </w:p>
        </w:tc>
        <w:tc>
          <w:tcPr>
            <w:tcW w:w="2948" w:type="dxa"/>
          </w:tcPr>
          <w:p>
            <w:pPr/>
            <w:r>
              <w:t xml:space="preserve">21,0 / 13,4</w:t>
            </w:r>
          </w:p>
        </w:tc>
        <w:tc>
          <w:tcPr>
            <w:tcW w:w="2554" w:type="dxa"/>
          </w:tcPr>
          <w:p>
            <w:pPr/>
            <w:r>
              <w:t xml:space="preserve">Recalculado con flujos trimestrales</w:t>
            </w:r>
          </w:p>
        </w:tc>
      </w:tr>
      <w:tr>
        <w:tc>
          <w:tcPr>
            <w:tcW w:w="2204" w:type="dxa"/>
          </w:tcPr>
          <w:p>
            <w:pPr/>
            <w:r>
              <w:t xml:space="preserve">TIR antes / después de impuestos</w:t>
            </w:r>
          </w:p>
        </w:tc>
        <w:tc>
          <w:tcPr>
            <w:tcW w:w="1654" w:type="dxa"/>
          </w:tcPr>
          <w:p>
            <w:pPr/>
            <w:r>
              <w:t xml:space="preserve">282% / 163%</w:t>
            </w:r>
          </w:p>
        </w:tc>
        <w:tc>
          <w:tcPr>
            <w:tcW w:w="2948" w:type="dxa"/>
          </w:tcPr>
          <w:p>
            <w:pPr/>
            <w:r>
              <w:t xml:space="preserve">276% / 175%</w:t>
            </w:r>
          </w:p>
        </w:tc>
        <w:tc>
          <w:tcPr>
            <w:tcW w:w="2554" w:type="dxa"/>
          </w:tcPr>
          <w:p>
            <w:pPr/>
            <w:r>
              <w:t xml:space="preserve">Ídem</w:t>
            </w:r>
          </w:p>
        </w:tc>
      </w:tr>
      <w:tr>
        <w:tc>
          <w:tcPr>
            <w:tcW w:w="2204" w:type="dxa"/>
          </w:tcPr>
          <w:p>
            <w:pPr/>
            <w:r>
              <w:t xml:space="preserve">Pesimista: neto 24 m · VAN · TIR</w:t>
            </w:r>
          </w:p>
        </w:tc>
        <w:tc>
          <w:tcPr>
            <w:tcW w:w="1654" w:type="dxa"/>
          </w:tcPr>
          <w:p>
            <w:pPr/>
            <w:r>
              <w:t xml:space="preserve">−1,8 · 3,3 · 46%</w:t>
            </w:r>
          </w:p>
        </w:tc>
        <w:tc>
          <w:tcPr>
            <w:tcW w:w="2948" w:type="dxa"/>
          </w:tcPr>
          <w:p>
            <w:pPr/>
            <w:r>
              <w:t xml:space="preserve">−1,8 · 3,7 · 48%</w:t>
            </w:r>
          </w:p>
        </w:tc>
        <w:tc>
          <w:tcPr>
            <w:tcW w:w="2554" w:type="dxa"/>
          </w:tcPr>
          <w:p>
            <w:pPr/>
            <w:r>
              <w:t xml:space="preserve">Ídem</w:t>
            </w:r>
          </w:p>
        </w:tc>
      </w:tr>
      <w:tr>
        <w:tc>
          <w:tcPr>
            <w:tcW w:w="2204" w:type="dxa"/>
          </w:tcPr>
          <w:p>
            <w:pPr/>
            <w:r>
              <w:t xml:space="preserve">Optimista: neto 24 m · VAN</w:t>
            </w:r>
          </w:p>
        </w:tc>
        <w:tc>
          <w:tcPr>
            <w:tcW w:w="1654" w:type="dxa"/>
          </w:tcPr>
          <w:p>
            <w:pPr/>
            <w:r>
              <w:t xml:space="preserve">11,7 · no informado</w:t>
            </w:r>
          </w:p>
        </w:tc>
        <w:tc>
          <w:tcPr>
            <w:tcW w:w="2948" w:type="dxa"/>
          </w:tcPr>
          <w:p>
            <w:pPr/>
            <w:r>
              <w:t xml:space="preserve">11,3 · 30,3</w:t>
            </w:r>
          </w:p>
        </w:tc>
        <w:tc>
          <w:tcPr>
            <w:tcW w:w="2554" w:type="dxa"/>
          </w:tcPr>
          <w:p>
            <w:pPr/>
            <w:r>
              <w:t xml:space="preserve">Se agrega el VAN a cada escenario</w:t>
            </w:r>
          </w:p>
        </w:tc>
      </w:tr>
      <w:tr>
        <w:tc>
          <w:tcPr>
            <w:tcW w:w="2204" w:type="dxa"/>
          </w:tcPr>
          <w:p>
            <w:pPr/>
            <w:r>
              <w:t xml:space="preserve">Gate de Q2</w:t>
            </w:r>
          </w:p>
        </w:tc>
        <w:tc>
          <w:tcPr>
            <w:tcW w:w="1654" w:type="dxa"/>
          </w:tcPr>
          <w:p>
            <w:pPr/>
            <w:r>
              <w:t xml:space="preserve">triage ≥ 20% y copiloto ≥ 60%</w:t>
            </w:r>
          </w:p>
        </w:tc>
        <w:tc>
          <w:tcPr>
            <w:tcW w:w="2948" w:type="dxa"/>
          </w:tcPr>
          <w:p>
            <w:pPr/>
            <w:r>
              <w:t xml:space="preserve">+ guarda de calidad y medición contra grupo de control</w:t>
            </w:r>
          </w:p>
        </w:tc>
        <w:tc>
          <w:tcPr>
            <w:tcW w:w="2554" w:type="dxa"/>
          </w:tcPr>
          <w:p>
            <w:pPr/>
            <w:r>
              <w:t xml:space="preserve">Volumen sin calidad no libera el tramo 2</w:t>
            </w:r>
          </w:p>
        </w:tc>
      </w:tr>
    </w:tbl>
    <w:p>
      <w:pPr>
        <w:pStyle w:val="Heading2"/>
      </w:pPr>
      <w:r>
        <w:t xml:space="preserve">Anexo A · Diagnóstico y punto de partida</w:t>
      </w:r>
    </w:p>
    <w:p>
      <w:pPr/>
      <w:r>
        <w:t xml:space="preserve">Hoy Austral Conecta está en el nivel 2 de madurez de IA; el plan la lleva al nivel 3 en diciembre 2027 con la operación de campo como primer dominio, un sponsor (CEO), un co-dueño (COO) y un equipo de 11 personas.</w:t>
      </w:r>
    </w:p>
    <w:p>
      <w:pPr>
        <w:pStyle w:val="Heading3"/>
      </w:pPr>
      <w:r>
        <w:t xml:space="preserve">Calendario</w:t>
      </w:r>
    </w:p>
    <w:p>
      <w:pPr>
        <w:pStyle w:val="ListParagraph"/>
        <w:numPr>
          <w:ilvl w:val="0"/>
          <w:numId w:val="2"/>
        </w:numPr>
      </w:pPr>
      <w:r>
        <w:rPr>
          <w:b/>
        </w:rPr>
        <w:t xml:space="preserve">Julio 2026.</w:t>
      </w:r>
      <w:r>
        <w:t xml:space="preserve"> Asume el CAIO, reporta al CEO, con mandato del directorio: pasar de pilotos aislados a resultados medibles.</w:t>
      </w:r>
    </w:p>
    <w:p>
      <w:pPr>
        <w:pStyle w:val="ListParagraph"/>
        <w:numPr>
          <w:ilvl w:val="0"/>
          <w:numId w:val="2"/>
        </w:numPr>
      </w:pPr>
      <w:r>
        <w:rPr>
          <w:b/>
        </w:rPr>
        <w:t xml:space="preserve">Julio a octubre 2026, 100 días de diagnóstico.</w:t>
      </w:r>
      <w:r>
        <w:t xml:space="preserve"> Inventario de 9 pilotos, entrevistas con 14 directivos, evaluación de datos de FSM, CRM y telemetría, y priorización de dominios por gasto evitable, datos disponibles y dueño de negocio. Gana la operación de campo: USD 57 M de costo anual, 45% sin valor, datos de órdenes disponibles y un COO aliado.</w:t>
      </w:r>
    </w:p>
    <w:p>
      <w:pPr>
        <w:pStyle w:val="ListParagraph"/>
        <w:numPr>
          <w:ilvl w:val="0"/>
          <w:numId w:val="2"/>
        </w:numPr>
      </w:pPr>
      <w:r>
        <w:rPr>
          <w:b/>
        </w:rPr>
        <w:t xml:space="preserve">Noviembre 2026, board.</w:t>
      </w:r>
      <w:r>
        <w:t xml:space="preserve"> Aprobación del Plan Maestro, del tramo 1 (USD 3,3 M) y del gate de Q2.</w:t>
      </w:r>
    </w:p>
    <w:p>
      <w:pPr>
        <w:pStyle w:val="ListParagraph"/>
        <w:numPr>
          <w:ilvl w:val="0"/>
          <w:numId w:val="2"/>
        </w:numPr>
      </w:pPr>
      <w:r>
        <w:rPr>
          <w:b/>
        </w:rPr>
        <w:t xml:space="preserve">Diciembre 2026, preparación.</w:t>
      </w:r>
      <w:r>
        <w:t xml:space="preserve"> Contratación del equipo núcleo, constitución del comité de IA, apertura de la mesa con el gremio.</w:t>
      </w:r>
    </w:p>
    <w:p>
      <w:pPr>
        <w:pStyle w:val="ListParagraph"/>
        <w:numPr>
          <w:ilvl w:val="0"/>
          <w:numId w:val="2"/>
        </w:numPr>
      </w:pPr>
      <w:r>
        <w:rPr>
          <w:b/>
        </w:rPr>
        <w:t xml:space="preserve">Enero a diciembre 2027, ejecución.</w:t>
      </w:r>
      <w:r>
        <w:t xml:space="preserve"> Cuatro trimestres con gate a mitad de año (anexo G).</w:t>
      </w:r>
    </w:p>
    <w:p>
      <w:pPr>
        <w:pStyle w:val="Heading3"/>
      </w:pPr>
      <w:r>
        <w:t xml:space="preserve">Madurez de IA</w:t>
      </w:r>
    </w:p>
    <w:tbl>
      <w:tblPr>
        <w:tblStyle w:val="TableGrid"/>
        <w:tblW w:w="0" w:type="auto"/>
        <w:tblLayout w:type="fixed"/>
        <w:tblLook w:val="04A0" w:firstRow="1" w:lastRow="0" w:firstColumn="0" w:lastColumn="0" w:noHBand="0" w:noVBand="1"/>
      </w:tblPr>
      <w:tblGrid>
        <w:gridCol w:w="790"/>
        <w:gridCol w:w="2064"/>
        <w:gridCol w:w="4474"/>
        <w:gridCol w:w="2032"/>
      </w:tblGrid>
      <w:tr>
        <w:trPr>
          <w:tblHeader/>
        </w:trPr>
        <w:tc>
          <w:tcPr>
            <w:tcW w:w="790" w:type="dxa"/>
            <w:shd w:val="clear" w:color="auto" w:fill="F2F2F2"/>
          </w:tcPr>
          <w:p>
            <w:pPr/>
            <w:r>
              <w:t xml:space="preserve">Nivel</w:t>
            </w:r>
          </w:p>
        </w:tc>
        <w:tc>
          <w:tcPr>
            <w:tcW w:w="2064" w:type="dxa"/>
            <w:shd w:val="clear" w:color="auto" w:fill="F2F2F2"/>
          </w:tcPr>
          <w:p>
            <w:pPr/>
            <w:r>
              <w:t xml:space="preserve">Nombre</w:t>
            </w:r>
          </w:p>
        </w:tc>
        <w:tc>
          <w:tcPr>
            <w:tcW w:w="4474" w:type="dxa"/>
            <w:shd w:val="clear" w:color="auto" w:fill="F2F2F2"/>
          </w:tcPr>
          <w:p>
            <w:pPr/>
            <w:r>
              <w:t xml:space="preserve">Qué lo define</w:t>
            </w:r>
          </w:p>
        </w:tc>
        <w:tc>
          <w:tcPr>
            <w:tcW w:w="2032" w:type="dxa"/>
            <w:shd w:val="clear" w:color="auto" w:fill="F2F2F2"/>
          </w:tcPr>
          <w:p>
            <w:pPr/>
            <w:r>
              <w:t xml:space="preserve">Austral Conecta</w:t>
            </w:r>
          </w:p>
        </w:tc>
      </w:tr>
      <w:tr>
        <w:tc>
          <w:tcPr>
            <w:tcW w:w="790" w:type="dxa"/>
          </w:tcPr>
          <w:p>
            <w:pPr/>
            <w:r>
              <w:t xml:space="preserve">1</w:t>
            </w:r>
          </w:p>
        </w:tc>
        <w:tc>
          <w:tcPr>
            <w:tcW w:w="2064" w:type="dxa"/>
          </w:tcPr>
          <w:p>
            <w:pPr/>
            <w:r>
              <w:t xml:space="preserve">Sin uso</w:t>
            </w:r>
          </w:p>
        </w:tc>
        <w:tc>
          <w:tcPr>
            <w:tcW w:w="4474" w:type="dxa"/>
          </w:tcPr>
          <w:p>
            <w:pPr/>
            <w:r>
              <w:t xml:space="preserve">Sin iniciativas de IA ni datos preparados</w:t>
            </w:r>
          </w:p>
        </w:tc>
        <w:tc>
          <w:tcPr>
            <w:tcW w:w="2032" w:type="dxa"/>
          </w:tcPr>
          <w:p>
            <w:pPr/>
            <w:r>
              <w:t xml:space="preserve">Superado</w:t>
            </w:r>
          </w:p>
        </w:tc>
      </w:tr>
      <w:tr>
        <w:tc>
          <w:tcPr>
            <w:tcW w:w="790" w:type="dxa"/>
          </w:tcPr>
          <w:p>
            <w:pPr/>
            <w:r>
              <w:t xml:space="preserve">2</w:t>
            </w:r>
          </w:p>
        </w:tc>
        <w:tc>
          <w:tcPr>
            <w:tcW w:w="2064" w:type="dxa"/>
          </w:tcPr>
          <w:p>
            <w:pPr/>
            <w:r>
              <w:t xml:space="preserve">Experimental</w:t>
            </w:r>
          </w:p>
        </w:tc>
        <w:tc>
          <w:tcPr>
            <w:tcW w:w="4474" w:type="dxa"/>
          </w:tcPr>
          <w:p>
            <w:pPr/>
            <w:r>
              <w:t xml:space="preserve">Pilotos aislados sin dueño común, sin política, sin plataforma</w:t>
            </w:r>
          </w:p>
        </w:tc>
        <w:tc>
          <w:tcPr>
            <w:tcW w:w="2032" w:type="dxa"/>
          </w:tcPr>
          <w:p>
            <w:pPr/>
            <w:r>
              <w:rPr>
                <w:b/>
              </w:rPr>
              <w:t xml:space="preserve">Hoy</w:t>
            </w:r>
          </w:p>
        </w:tc>
      </w:tr>
      <w:tr>
        <w:tc>
          <w:tcPr>
            <w:tcW w:w="790" w:type="dxa"/>
          </w:tcPr>
          <w:p>
            <w:pPr/>
            <w:r>
              <w:t xml:space="preserve">3</w:t>
            </w:r>
          </w:p>
        </w:tc>
        <w:tc>
          <w:tcPr>
            <w:tcW w:w="2064" w:type="dxa"/>
          </w:tcPr>
          <w:p>
            <w:pPr/>
            <w:r>
              <w:t xml:space="preserve">Operacional</w:t>
            </w:r>
          </w:p>
        </w:tc>
        <w:tc>
          <w:tcPr>
            <w:tcW w:w="4474" w:type="dxa"/>
          </w:tcPr>
          <w:p>
            <w:pPr/>
            <w:r>
              <w:t xml:space="preserve">Un dominio a escala, plataforma y gobierno comunes, valor medido contra control</w:t>
            </w:r>
          </w:p>
        </w:tc>
        <w:tc>
          <w:tcPr>
            <w:tcW w:w="2032" w:type="dxa"/>
          </w:tcPr>
          <w:p>
            <w:pPr/>
            <w:r>
              <w:rPr>
                <w:b/>
              </w:rPr>
              <w:t xml:space="preserve">Meta a 12 meses</w:t>
            </w:r>
          </w:p>
        </w:tc>
      </w:tr>
      <w:tr>
        <w:tc>
          <w:tcPr>
            <w:tcW w:w="790" w:type="dxa"/>
          </w:tcPr>
          <w:p>
            <w:pPr/>
            <w:r>
              <w:t xml:space="preserve">4</w:t>
            </w:r>
          </w:p>
        </w:tc>
        <w:tc>
          <w:tcPr>
            <w:tcW w:w="2064" w:type="dxa"/>
          </w:tcPr>
          <w:p>
            <w:pPr/>
            <w:r>
              <w:t xml:space="preserve">Escalado</w:t>
            </w:r>
          </w:p>
        </w:tc>
        <w:tc>
          <w:tcPr>
            <w:tcW w:w="4474" w:type="dxa"/>
          </w:tcPr>
          <w:p>
            <w:pPr/>
            <w:r>
              <w:t xml:space="preserve">Varios dominios sobre la misma plataforma, portafolio gestionado</w:t>
            </w:r>
          </w:p>
        </w:tc>
        <w:tc>
          <w:tcPr>
            <w:tcW w:w="2032" w:type="dxa"/>
          </w:tcPr>
          <w:p>
            <w:pPr/>
            <w:r>
              <w:t xml:space="preserve">2028–2029</w:t>
            </w:r>
          </w:p>
        </w:tc>
      </w:tr>
      <w:tr>
        <w:tc>
          <w:tcPr>
            <w:tcW w:w="790" w:type="dxa"/>
          </w:tcPr>
          <w:p>
            <w:pPr/>
            <w:r>
              <w:t xml:space="preserve">5</w:t>
            </w:r>
          </w:p>
        </w:tc>
        <w:tc>
          <w:tcPr>
            <w:tcW w:w="2064" w:type="dxa"/>
          </w:tcPr>
          <w:p>
            <w:pPr/>
            <w:r>
              <w:t xml:space="preserve">Transformacional</w:t>
            </w:r>
          </w:p>
        </w:tc>
        <w:tc>
          <w:tcPr>
            <w:tcW w:w="4474" w:type="dxa"/>
          </w:tcPr>
          <w:p>
            <w:pPr/>
            <w:r>
              <w:t xml:space="preserve">La IA redefine procesos y modelo de negocio</w:t>
            </w:r>
          </w:p>
        </w:tc>
        <w:tc>
          <w:tcPr>
            <w:tcW w:w="2032" w:type="dxa"/>
          </w:tcPr>
          <w:p>
            <w:pPr/>
            <w:r>
              <w:t xml:space="preserve">Visión</w:t>
            </w:r>
          </w:p>
        </w:tc>
      </w:tr>
    </w:tbl>
    <w:p>
      <w:pPr/>
      <w:r>
        <w:t xml:space="preserve">Por qué hoy es nivel 2 y no 3, según el diagnóstico:</w:t>
      </w:r>
    </w:p>
    <w:p>
      <w:pPr>
        <w:pStyle w:val="ListParagraph"/>
        <w:numPr>
          <w:ilvl w:val="0"/>
          <w:numId w:val="3"/>
        </w:numPr>
      </w:pPr>
      <w:r>
        <w:rPr>
          <w:b/>
        </w:rPr>
        <w:t xml:space="preserve">Pilotos sin dueño:</w:t>
      </w:r>
      <w:r>
        <w:t xml:space="preserve"> 9 pilotos en 4 áreas, ninguno en producción a escala y ninguno con beneficio medido contra un grupo de control.</w:t>
      </w:r>
    </w:p>
    <w:p>
      <w:pPr>
        <w:pStyle w:val="ListParagraph"/>
        <w:numPr>
          <w:ilvl w:val="0"/>
          <w:numId w:val="3"/>
        </w:numPr>
      </w:pPr>
      <w:r>
        <w:rPr>
          <w:b/>
        </w:rPr>
        <w:t xml:space="preserve">IA generativa sin política:</w:t>
      </w:r>
      <w:r>
        <w:t xml:space="preserve"> uso libre de herramientas públicas, sin reglas sobre datos de clientes.</w:t>
      </w:r>
    </w:p>
    <w:p>
      <w:pPr>
        <w:pStyle w:val="ListParagraph"/>
        <w:numPr>
          <w:ilvl w:val="0"/>
          <w:numId w:val="3"/>
        </w:numPr>
      </w:pPr>
      <w:r>
        <w:rPr>
          <w:b/>
        </w:rPr>
        <w:t xml:space="preserve">Datos de campo de baja calidad:</w:t>
      </w:r>
      <w:r>
        <w:t xml:space="preserve"> códigos de cierre de orden poco confiables y fotos sin estándar; telemetría disponible pero no unida a la orden.</w:t>
      </w:r>
    </w:p>
    <w:p>
      <w:pPr>
        <w:pStyle w:val="ListParagraph"/>
        <w:numPr>
          <w:ilvl w:val="0"/>
          <w:numId w:val="3"/>
        </w:numPr>
      </w:pPr>
      <w:r>
        <w:rPr>
          <w:b/>
        </w:rPr>
        <w:t xml:space="preserve">Sin gobierno:</w:t>
      </w:r>
      <w:r>
        <w:t xml:space="preserve"> no hay comité de IA ni criterios de autonomía.</w:t>
      </w:r>
    </w:p>
    <w:p>
      <w:pPr>
        <w:pStyle w:val="Heading3"/>
      </w:pPr>
      <w:r>
        <w:t xml:space="preserve">Mapa de apoyos y plan de acción</w:t>
      </w:r>
    </w:p>
    <w:tbl>
      <w:tblPr>
        <w:tblStyle w:val="TableGrid"/>
        <w:tblW w:w="0" w:type="auto"/>
        <w:tblLayout w:type="fixed"/>
        <w:tblLook w:val="04A0" w:firstRow="1" w:lastRow="0" w:firstColumn="0" w:lastColumn="0" w:noHBand="0" w:noVBand="1"/>
      </w:tblPr>
      <w:tblGrid>
        <w:gridCol w:w="1819"/>
        <w:gridCol w:w="1464"/>
        <w:gridCol w:w="1622"/>
        <w:gridCol w:w="3342"/>
        <w:gridCol w:w="1113"/>
      </w:tblGrid>
      <w:tr>
        <w:trPr>
          <w:tblHeader/>
        </w:trPr>
        <w:tc>
          <w:tcPr>
            <w:tcW w:w="1819" w:type="dxa"/>
            <w:shd w:val="clear" w:color="auto" w:fill="F2F2F2"/>
          </w:tcPr>
          <w:p>
            <w:pPr/>
            <w:r>
              <w:t xml:space="preserve">Cuadrante</w:t>
            </w:r>
          </w:p>
        </w:tc>
        <w:tc>
          <w:tcPr>
            <w:tcW w:w="1464" w:type="dxa"/>
            <w:shd w:val="clear" w:color="auto" w:fill="F2F2F2"/>
          </w:tcPr>
          <w:p>
            <w:pPr/>
            <w:r>
              <w:t xml:space="preserve">Directivo</w:t>
            </w:r>
          </w:p>
        </w:tc>
        <w:tc>
          <w:tcPr>
            <w:tcW w:w="1622" w:type="dxa"/>
            <w:shd w:val="clear" w:color="auto" w:fill="F2F2F2"/>
          </w:tcPr>
          <w:p>
            <w:pPr/>
            <w:r>
              <w:t xml:space="preserve">Qué le importa</w:t>
            </w:r>
          </w:p>
        </w:tc>
        <w:tc>
          <w:tcPr>
            <w:tcW w:w="3342" w:type="dxa"/>
            <w:shd w:val="clear" w:color="auto" w:fill="F2F2F2"/>
          </w:tcPr>
          <w:p>
            <w:pPr/>
            <w:r>
              <w:t xml:space="preserve">Acción</w:t>
            </w:r>
          </w:p>
        </w:tc>
        <w:tc>
          <w:tcPr>
            <w:tcW w:w="1113" w:type="dxa"/>
            <w:shd w:val="clear" w:color="auto" w:fill="F2F2F2"/>
          </w:tcPr>
          <w:p>
            <w:pPr/>
            <w:r>
              <w:t xml:space="preserve">Cuándo</w:t>
            </w:r>
          </w:p>
        </w:tc>
      </w:tr>
      <w:tr>
        <w:tc>
          <w:tcPr>
            <w:tcW w:w="1819" w:type="dxa"/>
          </w:tcPr>
          <w:p>
            <w:pPr/>
            <w:r>
              <w:t xml:space="preserve">Aliados: sostener</w:t>
            </w:r>
          </w:p>
        </w:tc>
        <w:tc>
          <w:tcPr>
            <w:tcW w:w="1464" w:type="dxa"/>
          </w:tcPr>
          <w:p>
            <w:pPr/>
            <w:r>
              <w:t xml:space="preserve">CEO (sponsor)</w:t>
            </w:r>
          </w:p>
        </w:tc>
        <w:tc>
          <w:tcPr>
            <w:tcW w:w="1622" w:type="dxa"/>
          </w:tcPr>
          <w:p>
            <w:pPr/>
            <w:r>
              <w:t xml:space="preserve">Resultado visible al board</w:t>
            </w:r>
          </w:p>
        </w:tc>
        <w:tc>
          <w:tcPr>
            <w:tcW w:w="3342" w:type="dxa"/>
          </w:tcPr>
          <w:p>
            <w:pPr/>
            <w:r>
              <w:t xml:space="preserve">Tablero mensual de la métrica norte; vocero en cada gate</w:t>
            </w:r>
          </w:p>
        </w:tc>
        <w:tc>
          <w:tcPr>
            <w:tcW w:w="1113" w:type="dxa"/>
          </w:tcPr>
          <w:p>
            <w:pPr/>
            <w:r>
              <w:t xml:space="preserve">Desde Q1</w:t>
            </w:r>
          </w:p>
        </w:tc>
      </w:tr>
      <w:tr>
        <w:tc>
          <w:tcPr>
            <w:tcW w:w="1819" w:type="dxa"/>
          </w:tcPr>
          <w:p>
            <w:pPr/>
            <w:r>
              <w:t xml:space="preserve">Aliados: sostener</w:t>
            </w:r>
          </w:p>
        </w:tc>
        <w:tc>
          <w:tcPr>
            <w:tcW w:w="1464" w:type="dxa"/>
          </w:tcPr>
          <w:p>
            <w:pPr/>
            <w:r>
              <w:t xml:space="preserve">COO (co-dueño)</w:t>
            </w:r>
          </w:p>
        </w:tc>
        <w:tc>
          <w:tcPr>
            <w:tcW w:w="1622" w:type="dxa"/>
          </w:tcPr>
          <w:p>
            <w:pPr/>
            <w:r>
              <w:t xml:space="preserve">Costo de campo y SLA</w:t>
            </w:r>
          </w:p>
        </w:tc>
        <w:tc>
          <w:tcPr>
            <w:tcW w:w="3342" w:type="dxa"/>
          </w:tcPr>
          <w:p>
            <w:pPr/>
            <w:r>
              <w:t xml:space="preserve">Co-preside las revisiones de despacho; dueño de las reglas de negocio</w:t>
            </w:r>
          </w:p>
        </w:tc>
        <w:tc>
          <w:tcPr>
            <w:tcW w:w="1113" w:type="dxa"/>
          </w:tcPr>
          <w:p>
            <w:pPr/>
            <w:r>
              <w:t xml:space="preserve">Desde Q1</w:t>
            </w:r>
          </w:p>
        </w:tc>
      </w:tr>
      <w:tr>
        <w:tc>
          <w:tcPr>
            <w:tcW w:w="1819" w:type="dxa"/>
          </w:tcPr>
          <w:p>
            <w:pPr/>
            <w:r>
              <w:t xml:space="preserve">Aliados: sostener</w:t>
            </w:r>
          </w:p>
        </w:tc>
        <w:tc>
          <w:tcPr>
            <w:tcW w:w="1464" w:type="dxa"/>
          </w:tcPr>
          <w:p>
            <w:pPr/>
            <w:r>
              <w:t xml:space="preserve">Atención al Cliente</w:t>
            </w:r>
          </w:p>
        </w:tc>
        <w:tc>
          <w:tcPr>
            <w:tcW w:w="1622" w:type="dxa"/>
          </w:tcPr>
          <w:p>
            <w:pPr/>
            <w:r>
              <w:t xml:space="preserve">Reclamos y NPS</w:t>
            </w:r>
          </w:p>
        </w:tc>
        <w:tc>
          <w:tcPr>
            <w:tcW w:w="3342" w:type="dxa"/>
          </w:tcPr>
          <w:p>
            <w:pPr/>
            <w:r>
              <w:t xml:space="preserve">Quick win del aviso proactivo en Q1</w:t>
            </w:r>
          </w:p>
        </w:tc>
        <w:tc>
          <w:tcPr>
            <w:tcW w:w="1113" w:type="dxa"/>
          </w:tcPr>
          <w:p>
            <w:pPr/>
            <w:r>
              <w:t xml:space="preserve">Q1</w:t>
            </w:r>
          </w:p>
        </w:tc>
      </w:tr>
      <w:tr>
        <w:tc>
          <w:tcPr>
            <w:tcW w:w="1819" w:type="dxa"/>
          </w:tcPr>
          <w:p>
            <w:pPr/>
            <w:r>
              <w:t xml:space="preserve">Aliados: sostener</w:t>
            </w:r>
          </w:p>
        </w:tc>
        <w:tc>
          <w:tcPr>
            <w:tcW w:w="1464" w:type="dxa"/>
          </w:tcPr>
          <w:p>
            <w:pPr/>
            <w:r>
              <w:t xml:space="preserve">Comercial</w:t>
            </w:r>
          </w:p>
        </w:tc>
        <w:tc>
          <w:tcPr>
            <w:tcW w:w="1622" w:type="dxa"/>
          </w:tcPr>
          <w:p>
            <w:pPr/>
            <w:r>
              <w:t xml:space="preserve">Instalaciones bien hechas, baja temprana</w:t>
            </w:r>
          </w:p>
        </w:tc>
        <w:tc>
          <w:tcPr>
            <w:tcW w:w="3342" w:type="dxa"/>
          </w:tcPr>
          <w:p>
            <w:pPr/>
            <w:r>
              <w:t xml:space="preserve">Control de calidad por foto en instalaciones; reporte de reinstalaciones</w:t>
            </w:r>
          </w:p>
        </w:tc>
        <w:tc>
          <w:tcPr>
            <w:tcW w:w="1113" w:type="dxa"/>
          </w:tcPr>
          <w:p>
            <w:pPr/>
            <w:r>
              <w:t xml:space="preserve">Q3</w:t>
            </w:r>
          </w:p>
        </w:tc>
      </w:tr>
      <w:tr>
        <w:tc>
          <w:tcPr>
            <w:tcW w:w="1819" w:type="dxa"/>
          </w:tcPr>
          <w:p>
            <w:pPr/>
            <w:r>
              <w:t xml:space="preserve">A ganar: convencer</w:t>
            </w:r>
          </w:p>
        </w:tc>
        <w:tc>
          <w:tcPr>
            <w:tcW w:w="1464" w:type="dxa"/>
          </w:tcPr>
          <w:p>
            <w:pPr/>
            <w:r>
              <w:t xml:space="preserve">CFO</w:t>
            </w:r>
          </w:p>
        </w:tc>
        <w:tc>
          <w:tcPr>
            <w:tcW w:w="1622" w:type="dxa"/>
          </w:tcPr>
          <w:p>
            <w:pPr/>
            <w:r>
              <w:t xml:space="preserve">Que el ahorro sea real y el riesgo acotado</w:t>
            </w:r>
          </w:p>
        </w:tc>
        <w:tc>
          <w:tcPr>
            <w:tcW w:w="3342" w:type="dxa"/>
          </w:tcPr>
          <w:p>
            <w:pPr/>
            <w:r>
              <w:t xml:space="preserve">Ahorro medido en facturas de contratistas contra grupo de control; financiamiento en tramos</w:t>
            </w:r>
          </w:p>
        </w:tc>
        <w:tc>
          <w:tcPr>
            <w:tcW w:w="1113" w:type="dxa"/>
          </w:tcPr>
          <w:p>
            <w:pPr/>
            <w:r>
              <w:t xml:space="preserve">Antes del board</w:t>
            </w:r>
          </w:p>
        </w:tc>
      </w:tr>
      <w:tr>
        <w:tc>
          <w:tcPr>
            <w:tcW w:w="1819" w:type="dxa"/>
          </w:tcPr>
          <w:p>
            <w:pPr/>
            <w:r>
              <w:t xml:space="preserve">A ganar: convencer</w:t>
            </w:r>
          </w:p>
        </w:tc>
        <w:tc>
          <w:tcPr>
            <w:tcW w:w="1464" w:type="dxa"/>
          </w:tcPr>
          <w:p>
            <w:pPr/>
            <w:r>
              <w:t xml:space="preserve">CTO/CIO</w:t>
            </w:r>
          </w:p>
        </w:tc>
        <w:tc>
          <w:tcPr>
            <w:tcW w:w="1622" w:type="dxa"/>
          </w:tcPr>
          <w:p>
            <w:pPr/>
            <w:r>
              <w:t xml:space="preserve">Carga sobre su equipo y su core</w:t>
            </w:r>
          </w:p>
        </w:tc>
        <w:tc>
          <w:tcPr>
            <w:tcW w:w="3342" w:type="dxa"/>
          </w:tcPr>
          <w:p>
            <w:pPr/>
            <w:r>
              <w:t xml:space="preserve">Equipo de integración propio del plan; la plataforma no toca el core del FSM</w:t>
            </w:r>
          </w:p>
        </w:tc>
        <w:tc>
          <w:tcPr>
            <w:tcW w:w="1113" w:type="dxa"/>
          </w:tcPr>
          <w:p>
            <w:pPr/>
            <w:r>
              <w:t xml:space="preserve">Antes del board</w:t>
            </w:r>
          </w:p>
        </w:tc>
      </w:tr>
      <w:tr>
        <w:tc>
          <w:tcPr>
            <w:tcW w:w="1819" w:type="dxa"/>
          </w:tcPr>
          <w:p>
            <w:pPr/>
            <w:r>
              <w:t xml:space="preserve">Condicionados: involucrar</w:t>
            </w:r>
          </w:p>
        </w:tc>
        <w:tc>
          <w:tcPr>
            <w:tcW w:w="1464" w:type="dxa"/>
          </w:tcPr>
          <w:p>
            <w:pPr/>
            <w:r>
              <w:t xml:space="preserve">CISO</w:t>
            </w:r>
          </w:p>
        </w:tc>
        <w:tc>
          <w:tcPr>
            <w:tcW w:w="1622" w:type="dxa"/>
          </w:tcPr>
          <w:p>
            <w:pPr/>
            <w:r>
              <w:t xml:space="preserve">Fuga de datos, proveedores externos</w:t>
            </w:r>
          </w:p>
        </w:tc>
        <w:tc>
          <w:tcPr>
            <w:tcW w:w="3342" w:type="dxa"/>
          </w:tcPr>
          <w:p>
            <w:pPr/>
            <w:r>
              <w:t xml:space="preserve">Veto en el comité; firma la evaluación de impacto antes de cada salida a producción</w:t>
            </w:r>
          </w:p>
        </w:tc>
        <w:tc>
          <w:tcPr>
            <w:tcW w:w="1113" w:type="dxa"/>
          </w:tcPr>
          <w:p>
            <w:pPr/>
            <w:r>
              <w:t xml:space="preserve">Desde Q1</w:t>
            </w:r>
          </w:p>
        </w:tc>
      </w:tr>
      <w:tr>
        <w:tc>
          <w:tcPr>
            <w:tcW w:w="1819" w:type="dxa"/>
          </w:tcPr>
          <w:p>
            <w:pPr/>
            <w:r>
              <w:t xml:space="preserve">Condicionados: involucrar</w:t>
            </w:r>
          </w:p>
        </w:tc>
        <w:tc>
          <w:tcPr>
            <w:tcW w:w="1464" w:type="dxa"/>
          </w:tcPr>
          <w:p>
            <w:pPr/>
            <w:r>
              <w:t xml:space="preserve">RR.HH.</w:t>
            </w:r>
          </w:p>
        </w:tc>
        <w:tc>
          <w:tcPr>
            <w:tcW w:w="1622" w:type="dxa"/>
          </w:tcPr>
          <w:p>
            <w:pPr/>
            <w:r>
              <w:t xml:space="preserve">Relación gremial, roles</w:t>
            </w:r>
          </w:p>
        </w:tc>
        <w:tc>
          <w:tcPr>
            <w:tcW w:w="3342" w:type="dxa"/>
          </w:tcPr>
          <w:p>
            <w:pPr/>
            <w:r>
              <w:t xml:space="preserve">Lidera el acuerdo con el gremio y el diseño de roles nuevos</w:t>
            </w:r>
          </w:p>
        </w:tc>
        <w:tc>
          <w:tcPr>
            <w:tcW w:w="1113" w:type="dxa"/>
          </w:tcPr>
          <w:p>
            <w:pPr/>
            <w:r>
              <w:t xml:space="preserve">Q1</w:t>
            </w:r>
          </w:p>
        </w:tc>
      </w:tr>
      <w:tr>
        <w:tc>
          <w:tcPr>
            <w:tcW w:w="1819" w:type="dxa"/>
          </w:tcPr>
          <w:p>
            <w:pPr/>
            <w:r>
              <w:t xml:space="preserve">Condicionados: involucrar</w:t>
            </w:r>
          </w:p>
        </w:tc>
        <w:tc>
          <w:tcPr>
            <w:tcW w:w="1464" w:type="dxa"/>
          </w:tcPr>
          <w:p>
            <w:pPr/>
            <w:r>
              <w:t xml:space="preserve">Legales</w:t>
            </w:r>
          </w:p>
        </w:tc>
        <w:tc>
          <w:tcPr>
            <w:tcW w:w="1622" w:type="dxa"/>
          </w:tcPr>
          <w:p>
            <w:pPr/>
            <w:r>
              <w:t xml:space="preserve">Ley 25.326, contratos</w:t>
            </w:r>
          </w:p>
        </w:tc>
        <w:tc>
          <w:tcPr>
            <w:tcW w:w="3342" w:type="dxa"/>
          </w:tcPr>
          <w:p>
            <w:pPr/>
            <w:r>
              <w:t xml:space="preserve">Revisa políticas, consentimientos y cláusulas con contratistas</w:t>
            </w:r>
          </w:p>
        </w:tc>
        <w:tc>
          <w:tcPr>
            <w:tcW w:w="1113" w:type="dxa"/>
          </w:tcPr>
          <w:p>
            <w:pPr/>
            <w:r>
              <w:t xml:space="preserve">Q1</w:t>
            </w:r>
          </w:p>
        </w:tc>
      </w:tr>
      <w:tr>
        <w:tc>
          <w:tcPr>
            <w:tcW w:w="1819" w:type="dxa"/>
          </w:tcPr>
          <w:p>
            <w:pPr/>
            <w:r>
              <w:t xml:space="preserve">Afectados: acordar</w:t>
            </w:r>
          </w:p>
        </w:tc>
        <w:tc>
          <w:tcPr>
            <w:tcW w:w="1464" w:type="dxa"/>
          </w:tcPr>
          <w:p>
            <w:pPr/>
            <w:r>
              <w:t xml:space="preserve">Gremio de técnicos</w:t>
            </w:r>
          </w:p>
        </w:tc>
        <w:tc>
          <w:tcPr>
            <w:tcW w:w="1622" w:type="dxa"/>
          </w:tcPr>
          <w:p>
            <w:pPr/>
            <w:r>
              <w:t xml:space="preserve">Empleo y control del desempeño</w:t>
            </w:r>
          </w:p>
        </w:tc>
        <w:tc>
          <w:tcPr>
            <w:tcW w:w="3342" w:type="dxa"/>
          </w:tcPr>
          <w:p>
            <w:pPr/>
            <w:r>
              <w:t xml:space="preserve">Acuerdo: sin despidos y la IA no evalúa desempeño individual</w:t>
            </w:r>
          </w:p>
        </w:tc>
        <w:tc>
          <w:tcPr>
            <w:tcW w:w="1113" w:type="dxa"/>
          </w:tcPr>
          <w:p>
            <w:pPr/>
            <w:r>
              <w:t xml:space="preserve">Firmado en Q1</w:t>
            </w:r>
          </w:p>
        </w:tc>
      </w:tr>
      <w:tr>
        <w:tc>
          <w:tcPr>
            <w:tcW w:w="1819" w:type="dxa"/>
          </w:tcPr>
          <w:p>
            <w:pPr/>
            <w:r>
              <w:t xml:space="preserve">Afectados: acordar</w:t>
            </w:r>
          </w:p>
        </w:tc>
        <w:tc>
          <w:tcPr>
            <w:tcW w:w="1464" w:type="dxa"/>
          </w:tcPr>
          <w:p>
            <w:pPr/>
            <w:r>
              <w:t xml:space="preserve">Empresas contratistas</w:t>
            </w:r>
          </w:p>
        </w:tc>
        <w:tc>
          <w:tcPr>
            <w:tcW w:w="1622" w:type="dxa"/>
          </w:tcPr>
          <w:p>
            <w:pPr/>
            <w:r>
              <w:t xml:space="preserve">Volumen facturado</w:t>
            </w:r>
          </w:p>
        </w:tc>
        <w:tc>
          <w:tcPr>
            <w:tcW w:w="3342" w:type="dxa"/>
          </w:tcPr>
          <w:p>
            <w:pPr/>
            <w:r>
              <w:t xml:space="preserve">Transición a contrato por orden resuelta con aviso de 6 meses</w:t>
            </w:r>
          </w:p>
        </w:tc>
        <w:tc>
          <w:tcPr>
            <w:tcW w:w="1113" w:type="dxa"/>
          </w:tcPr>
          <w:p>
            <w:pPr/>
            <w:r>
              <w:t xml:space="preserve">Plan en Q3, vigente 2028</w:t>
            </w:r>
          </w:p>
        </w:tc>
      </w:tr>
    </w:tbl>
    <w:p>
      <w:pPr>
        <w:pStyle w:val="Heading3"/>
      </w:pPr>
      <w:r>
        <w:t xml:space="preserve">Equipo mínimo</w:t>
      </w:r>
    </w:p>
    <w:tbl>
      <w:tblPr>
        <w:tblStyle w:val="TableGrid"/>
        <w:tblW w:w="0" w:type="auto"/>
        <w:tblLayout w:type="fixed"/>
        <w:tblLook w:val="04A0" w:firstRow="1" w:lastRow="0" w:firstColumn="0" w:lastColumn="0" w:noHBand="0" w:noVBand="1"/>
      </w:tblPr>
      <w:tblGrid>
        <w:gridCol w:w="2068"/>
        <w:gridCol w:w="1186"/>
        <w:gridCol w:w="1186"/>
        <w:gridCol w:w="4920"/>
      </w:tblGrid>
      <w:tr>
        <w:trPr>
          <w:tblHeader/>
        </w:trPr>
        <w:tc>
          <w:tcPr>
            <w:tcW w:w="2068" w:type="dxa"/>
            <w:shd w:val="clear" w:color="auto" w:fill="F2F2F2"/>
          </w:tcPr>
          <w:p>
            <w:pPr/>
            <w:r>
              <w:t xml:space="preserve">Rol</w:t>
            </w:r>
          </w:p>
        </w:tc>
        <w:tc>
          <w:tcPr>
            <w:tcW w:w="1186" w:type="dxa"/>
            <w:shd w:val="clear" w:color="auto" w:fill="F2F2F2"/>
          </w:tcPr>
          <w:p>
            <w:pPr/>
            <w:r>
              <w:t xml:space="preserve">Personas</w:t>
            </w:r>
          </w:p>
        </w:tc>
        <w:tc>
          <w:tcPr>
            <w:tcW w:w="1186" w:type="dxa"/>
            <w:shd w:val="clear" w:color="auto" w:fill="F2F2F2"/>
          </w:tcPr>
          <w:p>
            <w:pPr/>
            <w:r>
              <w:t xml:space="preserve">Desde</w:t>
            </w:r>
          </w:p>
        </w:tc>
        <w:tc>
          <w:tcPr>
            <w:tcW w:w="4920" w:type="dxa"/>
            <w:shd w:val="clear" w:color="auto" w:fill="F2F2F2"/>
          </w:tcPr>
          <w:p>
            <w:pPr/>
            <w:r>
              <w:t xml:space="preserve">Responsabilidad</w:t>
            </w:r>
          </w:p>
        </w:tc>
      </w:tr>
      <w:tr>
        <w:tc>
          <w:tcPr>
            <w:tcW w:w="2068" w:type="dxa"/>
          </w:tcPr>
          <w:p>
            <w:pPr/>
            <w:r>
              <w:t xml:space="preserve">CAIO</w:t>
            </w:r>
          </w:p>
        </w:tc>
        <w:tc>
          <w:tcPr>
            <w:tcW w:w="1186" w:type="dxa"/>
          </w:tcPr>
          <w:p>
            <w:pPr/>
            <w:r>
              <w:t xml:space="preserve">1</w:t>
            </w:r>
          </w:p>
        </w:tc>
        <w:tc>
          <w:tcPr>
            <w:tcW w:w="1186" w:type="dxa"/>
          </w:tcPr>
          <w:p>
            <w:pPr/>
            <w:r>
              <w:t xml:space="preserve">Jul 2026</w:t>
            </w:r>
          </w:p>
        </w:tc>
        <w:tc>
          <w:tcPr>
            <w:tcW w:w="4920" w:type="dxa"/>
          </w:tcPr>
          <w:p>
            <w:pPr/>
            <w:r>
              <w:t xml:space="preserve">Dueño del plan, preside el comité de IA</w:t>
            </w:r>
          </w:p>
        </w:tc>
      </w:tr>
      <w:tr>
        <w:tc>
          <w:tcPr>
            <w:tcW w:w="2068" w:type="dxa"/>
          </w:tcPr>
          <w:p>
            <w:pPr/>
            <w:r>
              <w:t xml:space="preserve">PM técnico</w:t>
            </w:r>
          </w:p>
        </w:tc>
        <w:tc>
          <w:tcPr>
            <w:tcW w:w="1186" w:type="dxa"/>
          </w:tcPr>
          <w:p>
            <w:pPr/>
            <w:r>
              <w:t xml:space="preserve">1</w:t>
            </w:r>
          </w:p>
        </w:tc>
        <w:tc>
          <w:tcPr>
            <w:tcW w:w="1186" w:type="dxa"/>
          </w:tcPr>
          <w:p>
            <w:pPr/>
            <w:r>
              <w:t xml:space="preserve">Dic 2026</w:t>
            </w:r>
          </w:p>
        </w:tc>
        <w:tc>
          <w:tcPr>
            <w:tcW w:w="4920" w:type="dxa"/>
          </w:tcPr>
          <w:p>
            <w:pPr/>
            <w:r>
              <w:t xml:space="preserve">Plataforma, integraciones, MLOps</w:t>
            </w:r>
          </w:p>
        </w:tc>
      </w:tr>
      <w:tr>
        <w:tc>
          <w:tcPr>
            <w:tcW w:w="2068" w:type="dxa"/>
          </w:tcPr>
          <w:p>
            <w:pPr/>
            <w:r>
              <w:t xml:space="preserve">PM de negocio (operación de campo)</w:t>
            </w:r>
          </w:p>
        </w:tc>
        <w:tc>
          <w:tcPr>
            <w:tcW w:w="1186" w:type="dxa"/>
          </w:tcPr>
          <w:p>
            <w:pPr/>
            <w:r>
              <w:t xml:space="preserve">1</w:t>
            </w:r>
          </w:p>
        </w:tc>
        <w:tc>
          <w:tcPr>
            <w:tcW w:w="1186" w:type="dxa"/>
          </w:tcPr>
          <w:p>
            <w:pPr/>
            <w:r>
              <w:t xml:space="preserve">Dic 2026</w:t>
            </w:r>
          </w:p>
        </w:tc>
        <w:tc>
          <w:tcPr>
            <w:tcW w:w="4920" w:type="dxa"/>
          </w:tcPr>
          <w:p>
            <w:pPr/>
            <w:r>
              <w:t xml:space="preserve">Rediseño del ciclo de servicio, reglas, adopción; reporta también al COO</w:t>
            </w:r>
          </w:p>
        </w:tc>
      </w:tr>
      <w:tr>
        <w:tc>
          <w:tcPr>
            <w:tcW w:w="2068" w:type="dxa"/>
          </w:tcPr>
          <w:p>
            <w:pPr/>
            <w:r>
              <w:t xml:space="preserve">Data Lead</w:t>
            </w:r>
          </w:p>
        </w:tc>
        <w:tc>
          <w:tcPr>
            <w:tcW w:w="1186" w:type="dxa"/>
          </w:tcPr>
          <w:p>
            <w:pPr/>
            <w:r>
              <w:t xml:space="preserve">1</w:t>
            </w:r>
          </w:p>
        </w:tc>
        <w:tc>
          <w:tcPr>
            <w:tcW w:w="1186" w:type="dxa"/>
          </w:tcPr>
          <w:p>
            <w:pPr/>
            <w:r>
              <w:t xml:space="preserve">Dic 2026</w:t>
            </w:r>
          </w:p>
        </w:tc>
        <w:tc>
          <w:tcPr>
            <w:tcW w:w="4920" w:type="dxa"/>
          </w:tcPr>
          <w:p>
            <w:pPr/>
            <w:r>
              <w:t xml:space="preserve">Capa de datos, calidad de datos, privacidad desde el diseño</w:t>
            </w:r>
          </w:p>
        </w:tc>
      </w:tr>
      <w:tr>
        <w:tc>
          <w:tcPr>
            <w:tcW w:w="2068" w:type="dxa"/>
          </w:tcPr>
          <w:p>
            <w:pPr/>
            <w:r>
              <w:t xml:space="preserve">Ingenieros de datos y ML</w:t>
            </w:r>
          </w:p>
        </w:tc>
        <w:tc>
          <w:tcPr>
            <w:tcW w:w="1186" w:type="dxa"/>
          </w:tcPr>
          <w:p>
            <w:pPr/>
            <w:r>
              <w:t xml:space="preserve">4</w:t>
            </w:r>
          </w:p>
        </w:tc>
        <w:tc>
          <w:tcPr>
            <w:tcW w:w="1186" w:type="dxa"/>
          </w:tcPr>
          <w:p>
            <w:pPr/>
            <w:r>
              <w:t xml:space="preserve">Ene 2027</w:t>
            </w:r>
          </w:p>
        </w:tc>
        <w:tc>
          <w:tcPr>
            <w:tcW w:w="4920" w:type="dxa"/>
          </w:tcPr>
          <w:p>
            <w:pPr/>
            <w:r>
              <w:t xml:space="preserve">Integraciones, modelos de falla, visión y ruteo</w:t>
            </w:r>
          </w:p>
        </w:tc>
      </w:tr>
      <w:tr>
        <w:tc>
          <w:tcPr>
            <w:tcW w:w="2068" w:type="dxa"/>
          </w:tcPr>
          <w:p>
            <w:pPr/>
            <w:r>
              <w:t xml:space="preserve">Conversational designer</w:t>
            </w:r>
          </w:p>
        </w:tc>
        <w:tc>
          <w:tcPr>
            <w:tcW w:w="1186" w:type="dxa"/>
          </w:tcPr>
          <w:p>
            <w:pPr/>
            <w:r>
              <w:t xml:space="preserve">1</w:t>
            </w:r>
          </w:p>
        </w:tc>
        <w:tc>
          <w:tcPr>
            <w:tcW w:w="1186" w:type="dxa"/>
          </w:tcPr>
          <w:p>
            <w:pPr/>
            <w:r>
              <w:t xml:space="preserve">Ene 2027</w:t>
            </w:r>
          </w:p>
        </w:tc>
        <w:tc>
          <w:tcPr>
            <w:tcW w:w="4920" w:type="dxa"/>
          </w:tcPr>
          <w:p>
            <w:pPr/>
            <w:r>
              <w:t xml:space="preserve">Triage por WhatsApp y voz, esquemas de captura</w:t>
            </w:r>
          </w:p>
        </w:tc>
      </w:tr>
      <w:tr>
        <w:tc>
          <w:tcPr>
            <w:tcW w:w="2068" w:type="dxa"/>
          </w:tcPr>
          <w:p>
            <w:pPr/>
            <w:r>
              <w:t xml:space="preserve">Change Lead</w:t>
            </w:r>
          </w:p>
        </w:tc>
        <w:tc>
          <w:tcPr>
            <w:tcW w:w="1186" w:type="dxa"/>
          </w:tcPr>
          <w:p>
            <w:pPr/>
            <w:r>
              <w:t xml:space="preserve">1</w:t>
            </w:r>
          </w:p>
        </w:tc>
        <w:tc>
          <w:tcPr>
            <w:tcW w:w="1186" w:type="dxa"/>
          </w:tcPr>
          <w:p>
            <w:pPr/>
            <w:r>
              <w:t xml:space="preserve">Dic 2026</w:t>
            </w:r>
          </w:p>
        </w:tc>
        <w:tc>
          <w:tcPr>
            <w:tcW w:w="4920" w:type="dxa"/>
          </w:tcPr>
          <w:p>
            <w:pPr/>
            <w:r>
              <w:t xml:space="preserve">Comunicación, Academia IA, red de champions, mesa con el gremio</w:t>
            </w:r>
          </w:p>
        </w:tc>
      </w:tr>
      <w:tr>
        <w:tc>
          <w:tcPr>
            <w:tcW w:w="2068" w:type="dxa"/>
          </w:tcPr>
          <w:p>
            <w:pPr/>
            <w:r>
              <w:t xml:space="preserve">Analista de valor</w:t>
            </w:r>
          </w:p>
        </w:tc>
        <w:tc>
          <w:tcPr>
            <w:tcW w:w="1186" w:type="dxa"/>
          </w:tcPr>
          <w:p>
            <w:pPr/>
            <w:r>
              <w:t xml:space="preserve">1</w:t>
            </w:r>
          </w:p>
        </w:tc>
        <w:tc>
          <w:tcPr>
            <w:tcW w:w="1186" w:type="dxa"/>
          </w:tcPr>
          <w:p>
            <w:pPr/>
            <w:r>
              <w:t xml:space="preserve">Ene 2027</w:t>
            </w:r>
          </w:p>
        </w:tc>
        <w:tc>
          <w:tcPr>
            <w:tcW w:w="4920" w:type="dxa"/>
          </w:tcPr>
          <w:p>
            <w:pPr/>
            <w:r>
              <w:t xml:space="preserve">Grupo de control, medición de ahorro, tablero de la métrica norte</w:t>
            </w:r>
          </w:p>
        </w:tc>
      </w:tr>
    </w:tbl>
    <w:p>
      <w:pPr/>
      <w:r>
        <w:t xml:space="preserve">Se suman desde Q2 los curadores de conocimiento (técnicos senior reconvertidos, anexo F) y los despachadores que supervisan a la IA.</w:t>
      </w:r>
    </w:p>
    <w:p>
      <w:pPr>
        <w:pStyle w:val="Heading3"/>
      </w:pPr>
      <w:r>
        <w:t xml:space="preserve">RACI de las decisiones clave</w:t>
      </w:r>
    </w:p>
    <w:p>
      <w:pPr/>
      <w:r>
        <w:t xml:space="preserve">R responsable de ejecutar, A aprueba (uno por fila), C consultado, I informado.</w:t>
      </w:r>
    </w:p>
    <w:tbl>
      <w:tblPr>
        <w:tblStyle w:val="TableGrid"/>
        <w:tblW w:w="0" w:type="auto"/>
        <w:tblLayout w:type="fixed"/>
        <w:tblLook w:val="04A0" w:firstRow="1" w:lastRow="0" w:firstColumn="0" w:lastColumn="0" w:noHBand="0" w:noVBand="1"/>
      </w:tblPr>
      <w:tblGrid>
        <w:gridCol w:w="2478"/>
        <w:gridCol w:w="720"/>
        <w:gridCol w:w="788"/>
        <w:gridCol w:w="720"/>
        <w:gridCol w:w="720"/>
        <w:gridCol w:w="1040"/>
        <w:gridCol w:w="830"/>
        <w:gridCol w:w="1024"/>
        <w:gridCol w:w="1040"/>
      </w:tblGrid>
      <w:tr>
        <w:trPr>
          <w:tblHeader/>
        </w:trPr>
        <w:tc>
          <w:tcPr>
            <w:tcW w:w="2478" w:type="dxa"/>
            <w:shd w:val="clear" w:color="auto" w:fill="F2F2F2"/>
          </w:tcPr>
          <w:p>
            <w:pPr/>
            <w:r>
              <w:t xml:space="preserve">Decisión</w:t>
            </w:r>
          </w:p>
        </w:tc>
        <w:tc>
          <w:tcPr>
            <w:tcW w:w="720" w:type="dxa"/>
            <w:shd w:val="clear" w:color="auto" w:fill="F2F2F2"/>
          </w:tcPr>
          <w:p>
            <w:pPr/>
            <w:r>
              <w:t xml:space="preserve">CEO</w:t>
            </w:r>
          </w:p>
        </w:tc>
        <w:tc>
          <w:tcPr>
            <w:tcW w:w="788" w:type="dxa"/>
            <w:shd w:val="clear" w:color="auto" w:fill="F2F2F2"/>
          </w:tcPr>
          <w:p>
            <w:pPr/>
            <w:r>
              <w:t xml:space="preserve">CAIO</w:t>
            </w:r>
          </w:p>
        </w:tc>
        <w:tc>
          <w:tcPr>
            <w:tcW w:w="720" w:type="dxa"/>
            <w:shd w:val="clear" w:color="auto" w:fill="F2F2F2"/>
          </w:tcPr>
          <w:p>
            <w:pPr/>
            <w:r>
              <w:t xml:space="preserve">COO</w:t>
            </w:r>
          </w:p>
        </w:tc>
        <w:tc>
          <w:tcPr>
            <w:tcW w:w="720" w:type="dxa"/>
            <w:shd w:val="clear" w:color="auto" w:fill="F2F2F2"/>
          </w:tcPr>
          <w:p>
            <w:pPr/>
            <w:r>
              <w:t xml:space="preserve">CFO</w:t>
            </w:r>
          </w:p>
        </w:tc>
        <w:tc>
          <w:tcPr>
            <w:tcW w:w="1040" w:type="dxa"/>
            <w:shd w:val="clear" w:color="auto" w:fill="F2F2F2"/>
          </w:tcPr>
          <w:p>
            <w:pPr/>
            <w:r>
              <w:t xml:space="preserve">CTO/CIO</w:t>
            </w:r>
          </w:p>
        </w:tc>
        <w:tc>
          <w:tcPr>
            <w:tcW w:w="830" w:type="dxa"/>
            <w:shd w:val="clear" w:color="auto" w:fill="F2F2F2"/>
          </w:tcPr>
          <w:p>
            <w:pPr/>
            <w:r>
              <w:t xml:space="preserve">CISO</w:t>
            </w:r>
          </w:p>
        </w:tc>
        <w:tc>
          <w:tcPr>
            <w:tcW w:w="1024" w:type="dxa"/>
            <w:shd w:val="clear" w:color="auto" w:fill="F2F2F2"/>
          </w:tcPr>
          <w:p>
            <w:pPr/>
            <w:r>
              <w:t xml:space="preserve">RR.HH.</w:t>
            </w:r>
          </w:p>
        </w:tc>
        <w:tc>
          <w:tcPr>
            <w:tcW w:w="1040" w:type="dxa"/>
            <w:shd w:val="clear" w:color="auto" w:fill="F2F2F2"/>
          </w:tcPr>
          <w:p>
            <w:pPr/>
            <w:r>
              <w:t xml:space="preserve">Legales</w:t>
            </w:r>
          </w:p>
        </w:tc>
      </w:tr>
      <w:tr>
        <w:tc>
          <w:tcPr>
            <w:tcW w:w="2478" w:type="dxa"/>
          </w:tcPr>
          <w:p>
            <w:pPr/>
            <w:r>
              <w:t xml:space="preserve">Plan Maestro y tramo 1 (ante el board)</w:t>
            </w:r>
          </w:p>
        </w:tc>
        <w:tc>
          <w:tcPr>
            <w:tcW w:w="720" w:type="dxa"/>
          </w:tcPr>
          <w:p>
            <w:pPr/>
            <w:r>
              <w:t xml:space="preserve">A</w:t>
            </w:r>
          </w:p>
        </w:tc>
        <w:tc>
          <w:tcPr>
            <w:tcW w:w="788" w:type="dxa"/>
          </w:tcPr>
          <w:p>
            <w:pPr/>
            <w:r>
              <w:t xml:space="preserve">R</w:t>
            </w:r>
          </w:p>
        </w:tc>
        <w:tc>
          <w:tcPr>
            <w:tcW w:w="720" w:type="dxa"/>
          </w:tcPr>
          <w:p>
            <w:pPr/>
            <w:r>
              <w:t xml:space="preserve">C</w:t>
            </w:r>
          </w:p>
        </w:tc>
        <w:tc>
          <w:tcPr>
            <w:tcW w:w="720" w:type="dxa"/>
          </w:tcPr>
          <w:p>
            <w:pPr/>
            <w:r>
              <w:t xml:space="preserve">C</w:t>
            </w:r>
          </w:p>
        </w:tc>
        <w:tc>
          <w:tcPr>
            <w:tcW w:w="1040" w:type="dxa"/>
          </w:tcPr>
          <w:p>
            <w:pPr/>
            <w:r>
              <w:t xml:space="preserve">C</w:t>
            </w:r>
          </w:p>
        </w:tc>
        <w:tc>
          <w:tcPr>
            <w:tcW w:w="830" w:type="dxa"/>
          </w:tcPr>
          <w:p>
            <w:pPr/>
            <w:r>
              <w:t xml:space="preserve">C</w:t>
            </w:r>
          </w:p>
        </w:tc>
        <w:tc>
          <w:tcPr>
            <w:tcW w:w="1024" w:type="dxa"/>
          </w:tcPr>
          <w:p>
            <w:pPr/>
            <w:r>
              <w:t xml:space="preserve">I</w:t>
            </w:r>
          </w:p>
        </w:tc>
        <w:tc>
          <w:tcPr>
            <w:tcW w:w="1040" w:type="dxa"/>
          </w:tcPr>
          <w:p>
            <w:pPr/>
            <w:r>
              <w:t xml:space="preserve">I</w:t>
            </w:r>
          </w:p>
        </w:tc>
      </w:tr>
      <w:tr>
        <w:tc>
          <w:tcPr>
            <w:tcW w:w="2478" w:type="dxa"/>
          </w:tcPr>
          <w:p>
            <w:pPr/>
            <w:r>
              <w:t xml:space="preserve">Liberación del tramo 2 en el gate de Q2</w:t>
            </w:r>
          </w:p>
        </w:tc>
        <w:tc>
          <w:tcPr>
            <w:tcW w:w="720" w:type="dxa"/>
          </w:tcPr>
          <w:p>
            <w:pPr/>
            <w:r>
              <w:t xml:space="preserve">A</w:t>
            </w:r>
          </w:p>
        </w:tc>
        <w:tc>
          <w:tcPr>
            <w:tcW w:w="788" w:type="dxa"/>
          </w:tcPr>
          <w:p>
            <w:pPr/>
            <w:r>
              <w:t xml:space="preserve">R</w:t>
            </w:r>
          </w:p>
        </w:tc>
        <w:tc>
          <w:tcPr>
            <w:tcW w:w="720" w:type="dxa"/>
          </w:tcPr>
          <w:p>
            <w:pPr/>
            <w:r>
              <w:t xml:space="preserve">C</w:t>
            </w:r>
          </w:p>
        </w:tc>
        <w:tc>
          <w:tcPr>
            <w:tcW w:w="720" w:type="dxa"/>
          </w:tcPr>
          <w:p>
            <w:pPr/>
            <w:r>
              <w:t xml:space="preserve">C</w:t>
            </w:r>
          </w:p>
        </w:tc>
        <w:tc>
          <w:tcPr>
            <w:tcW w:w="1040" w:type="dxa"/>
          </w:tcPr>
          <w:p>
            <w:pPr/>
            <w:r>
              <w:t xml:space="preserve">I</w:t>
            </w:r>
          </w:p>
        </w:tc>
        <w:tc>
          <w:tcPr>
            <w:tcW w:w="830" w:type="dxa"/>
          </w:tcPr>
          <w:p>
            <w:pPr/>
            <w:r>
              <w:t xml:space="preserve">C (veto)</w:t>
            </w:r>
          </w:p>
        </w:tc>
        <w:tc>
          <w:tcPr>
            <w:tcW w:w="1024" w:type="dxa"/>
          </w:tcPr>
          <w:p>
            <w:pPr/>
            <w:r>
              <w:t xml:space="preserve">I</w:t>
            </w:r>
          </w:p>
        </w:tc>
        <w:tc>
          <w:tcPr>
            <w:tcW w:w="1040" w:type="dxa"/>
          </w:tcPr>
          <w:p>
            <w:pPr/>
            <w:r>
              <w:t xml:space="preserve">I</w:t>
            </w:r>
          </w:p>
        </w:tc>
      </w:tr>
      <w:tr>
        <w:tc>
          <w:tcPr>
            <w:tcW w:w="2478" w:type="dxa"/>
          </w:tcPr>
          <w:p>
            <w:pPr/>
            <w:r>
              <w:t xml:space="preserve">Política de autonomía de la IA</w:t>
            </w:r>
          </w:p>
        </w:tc>
        <w:tc>
          <w:tcPr>
            <w:tcW w:w="720" w:type="dxa"/>
          </w:tcPr>
          <w:p>
            <w:pPr/>
            <w:r>
              <w:t xml:space="preserve">I</w:t>
            </w:r>
          </w:p>
        </w:tc>
        <w:tc>
          <w:tcPr>
            <w:tcW w:w="788" w:type="dxa"/>
          </w:tcPr>
          <w:p>
            <w:pPr/>
            <w:r>
              <w:t xml:space="preserve">R</w:t>
            </w:r>
          </w:p>
        </w:tc>
        <w:tc>
          <w:tcPr>
            <w:tcW w:w="720" w:type="dxa"/>
          </w:tcPr>
          <w:p>
            <w:pPr/>
            <w:r>
              <w:t xml:space="preserve">C</w:t>
            </w:r>
          </w:p>
        </w:tc>
        <w:tc>
          <w:tcPr>
            <w:tcW w:w="720" w:type="dxa"/>
          </w:tcPr>
          <w:p>
            <w:pPr/>
            <w:r>
              <w:t xml:space="preserve">I</w:t>
            </w:r>
          </w:p>
        </w:tc>
        <w:tc>
          <w:tcPr>
            <w:tcW w:w="1040" w:type="dxa"/>
          </w:tcPr>
          <w:p>
            <w:pPr/>
            <w:r>
              <w:t xml:space="preserve">C</w:t>
            </w:r>
          </w:p>
        </w:tc>
        <w:tc>
          <w:tcPr>
            <w:tcW w:w="830" w:type="dxa"/>
          </w:tcPr>
          <w:p>
            <w:pPr/>
            <w:r>
              <w:t xml:space="preserve">A</w:t>
            </w:r>
          </w:p>
        </w:tc>
        <w:tc>
          <w:tcPr>
            <w:tcW w:w="1024" w:type="dxa"/>
          </w:tcPr>
          <w:p>
            <w:pPr/>
            <w:r>
              <w:t xml:space="preserve">C</w:t>
            </w:r>
          </w:p>
        </w:tc>
        <w:tc>
          <w:tcPr>
            <w:tcW w:w="1040" w:type="dxa"/>
          </w:tcPr>
          <w:p>
            <w:pPr/>
            <w:r>
              <w:t xml:space="preserve">C</w:t>
            </w:r>
          </w:p>
        </w:tc>
      </w:tr>
      <w:tr>
        <w:tc>
          <w:tcPr>
            <w:tcW w:w="2478" w:type="dxa"/>
          </w:tcPr>
          <w:p>
            <w:pPr/>
            <w:r>
              <w:t xml:space="preserve">Reglas de despacho y resolución remota</w:t>
            </w:r>
          </w:p>
        </w:tc>
        <w:tc>
          <w:tcPr>
            <w:tcW w:w="720" w:type="dxa"/>
          </w:tcPr>
          <w:p>
            <w:pPr/>
            <w:r>
              <w:t xml:space="preserve">I</w:t>
            </w:r>
          </w:p>
        </w:tc>
        <w:tc>
          <w:tcPr>
            <w:tcW w:w="788" w:type="dxa"/>
          </w:tcPr>
          <w:p>
            <w:pPr/>
            <w:r>
              <w:t xml:space="preserve">C</w:t>
            </w:r>
          </w:p>
        </w:tc>
        <w:tc>
          <w:tcPr>
            <w:tcW w:w="720" w:type="dxa"/>
          </w:tcPr>
          <w:p>
            <w:pPr/>
            <w:r>
              <w:t xml:space="preserve">A</w:t>
            </w:r>
          </w:p>
        </w:tc>
        <w:tc>
          <w:tcPr>
            <w:tcW w:w="720" w:type="dxa"/>
          </w:tcPr>
          <w:p>
            <w:pPr/>
            <w:r>
              <w:t xml:space="preserve">I</w:t>
            </w:r>
          </w:p>
        </w:tc>
        <w:tc>
          <w:tcPr>
            <w:tcW w:w="1040" w:type="dxa"/>
          </w:tcPr>
          <w:p>
            <w:pPr/>
            <w:r>
              <w:t xml:space="preserve">I</w:t>
            </w:r>
          </w:p>
        </w:tc>
        <w:tc>
          <w:tcPr>
            <w:tcW w:w="830" w:type="dxa"/>
          </w:tcPr>
          <w:p>
            <w:pPr/>
            <w:r>
              <w:t xml:space="preserve">C</w:t>
            </w:r>
          </w:p>
        </w:tc>
        <w:tc>
          <w:tcPr>
            <w:tcW w:w="1024" w:type="dxa"/>
          </w:tcPr>
          <w:p>
            <w:pPr/>
            <w:r>
              <w:t xml:space="preserve">I</w:t>
            </w:r>
          </w:p>
        </w:tc>
        <w:tc>
          <w:tcPr>
            <w:tcW w:w="1040" w:type="dxa"/>
          </w:tcPr>
          <w:p>
            <w:pPr/>
            <w:r>
              <w:t xml:space="preserve">I</w:t>
            </w:r>
          </w:p>
        </w:tc>
      </w:tr>
      <w:tr>
        <w:tc>
          <w:tcPr>
            <w:tcW w:w="2478" w:type="dxa"/>
          </w:tcPr>
          <w:p>
            <w:pPr/>
            <w:r>
              <w:t xml:space="preserve">Integración con FSM, CRM y telemetría</w:t>
            </w:r>
          </w:p>
        </w:tc>
        <w:tc>
          <w:tcPr>
            <w:tcW w:w="720" w:type="dxa"/>
          </w:tcPr>
          <w:p>
            <w:pPr/>
            <w:r>
              <w:t xml:space="preserve">I</w:t>
            </w:r>
          </w:p>
        </w:tc>
        <w:tc>
          <w:tcPr>
            <w:tcW w:w="788" w:type="dxa"/>
          </w:tcPr>
          <w:p>
            <w:pPr/>
            <w:r>
              <w:t xml:space="preserve">C</w:t>
            </w:r>
          </w:p>
        </w:tc>
        <w:tc>
          <w:tcPr>
            <w:tcW w:w="720" w:type="dxa"/>
          </w:tcPr>
          <w:p>
            <w:pPr/>
            <w:r>
              <w:t xml:space="preserve">I</w:t>
            </w:r>
          </w:p>
        </w:tc>
        <w:tc>
          <w:tcPr>
            <w:tcW w:w="720" w:type="dxa"/>
          </w:tcPr>
          <w:p>
            <w:pPr/>
            <w:r>
              <w:t xml:space="preserve">I</w:t>
            </w:r>
          </w:p>
        </w:tc>
        <w:tc>
          <w:tcPr>
            <w:tcW w:w="1040" w:type="dxa"/>
          </w:tcPr>
          <w:p>
            <w:pPr/>
            <w:r>
              <w:t xml:space="preserve">A</w:t>
            </w:r>
          </w:p>
        </w:tc>
        <w:tc>
          <w:tcPr>
            <w:tcW w:w="830" w:type="dxa"/>
          </w:tcPr>
          <w:p>
            <w:pPr/>
            <w:r>
              <w:t xml:space="preserve">C</w:t>
            </w:r>
          </w:p>
        </w:tc>
        <w:tc>
          <w:tcPr>
            <w:tcW w:w="1024" w:type="dxa"/>
          </w:tcPr>
          <w:p>
            <w:pPr/>
            <w:r>
              <w:t xml:space="preserve">I</w:t>
            </w:r>
          </w:p>
        </w:tc>
        <w:tc>
          <w:tcPr>
            <w:tcW w:w="1040" w:type="dxa"/>
          </w:tcPr>
          <w:p>
            <w:pPr/>
            <w:r>
              <w:t xml:space="preserve">I</w:t>
            </w:r>
          </w:p>
        </w:tc>
      </w:tr>
      <w:tr>
        <w:tc>
          <w:tcPr>
            <w:tcW w:w="2478" w:type="dxa"/>
          </w:tcPr>
          <w:p>
            <w:pPr/>
            <w:r>
              <w:t xml:space="preserve">Evaluación de impacto en privacidad por caso de uso</w:t>
            </w:r>
          </w:p>
        </w:tc>
        <w:tc>
          <w:tcPr>
            <w:tcW w:w="720" w:type="dxa"/>
          </w:tcPr>
          <w:p>
            <w:pPr/>
            <w:r>
              <w:t xml:space="preserve">I</w:t>
            </w:r>
          </w:p>
        </w:tc>
        <w:tc>
          <w:tcPr>
            <w:tcW w:w="788" w:type="dxa"/>
          </w:tcPr>
          <w:p>
            <w:pPr/>
            <w:r>
              <w:t xml:space="preserve">R</w:t>
            </w:r>
          </w:p>
        </w:tc>
        <w:tc>
          <w:tcPr>
            <w:tcW w:w="720" w:type="dxa"/>
          </w:tcPr>
          <w:p>
            <w:pPr/>
            <w:r>
              <w:t xml:space="preserve">I</w:t>
            </w:r>
          </w:p>
        </w:tc>
        <w:tc>
          <w:tcPr>
            <w:tcW w:w="720" w:type="dxa"/>
          </w:tcPr>
          <w:p>
            <w:pPr/>
            <w:r>
              <w:t xml:space="preserve">I</w:t>
            </w:r>
          </w:p>
        </w:tc>
        <w:tc>
          <w:tcPr>
            <w:tcW w:w="1040" w:type="dxa"/>
          </w:tcPr>
          <w:p>
            <w:pPr/>
            <w:r>
              <w:t xml:space="preserve">C</w:t>
            </w:r>
          </w:p>
        </w:tc>
        <w:tc>
          <w:tcPr>
            <w:tcW w:w="830" w:type="dxa"/>
          </w:tcPr>
          <w:p>
            <w:pPr/>
            <w:r>
              <w:t xml:space="preserve">A</w:t>
            </w:r>
          </w:p>
        </w:tc>
        <w:tc>
          <w:tcPr>
            <w:tcW w:w="1024" w:type="dxa"/>
          </w:tcPr>
          <w:p>
            <w:pPr/>
            <w:r>
              <w:t xml:space="preserve">I</w:t>
            </w:r>
          </w:p>
        </w:tc>
        <w:tc>
          <w:tcPr>
            <w:tcW w:w="1040" w:type="dxa"/>
          </w:tcPr>
          <w:p>
            <w:pPr/>
            <w:r>
              <w:t xml:space="preserve">C</w:t>
            </w:r>
          </w:p>
        </w:tc>
      </w:tr>
      <w:tr>
        <w:tc>
          <w:tcPr>
            <w:tcW w:w="2478" w:type="dxa"/>
          </w:tcPr>
          <w:p>
            <w:pPr/>
            <w:r>
              <w:t xml:space="preserve">Acuerdo con el gremio</w:t>
            </w:r>
          </w:p>
        </w:tc>
        <w:tc>
          <w:tcPr>
            <w:tcW w:w="720" w:type="dxa"/>
          </w:tcPr>
          <w:p>
            <w:pPr/>
            <w:r>
              <w:t xml:space="preserve">I</w:t>
            </w:r>
          </w:p>
        </w:tc>
        <w:tc>
          <w:tcPr>
            <w:tcW w:w="788" w:type="dxa"/>
          </w:tcPr>
          <w:p>
            <w:pPr/>
            <w:r>
              <w:t xml:space="preserve">C</w:t>
            </w:r>
          </w:p>
        </w:tc>
        <w:tc>
          <w:tcPr>
            <w:tcW w:w="720" w:type="dxa"/>
          </w:tcPr>
          <w:p>
            <w:pPr/>
            <w:r>
              <w:t xml:space="preserve">C</w:t>
            </w:r>
          </w:p>
        </w:tc>
        <w:tc>
          <w:tcPr>
            <w:tcW w:w="720" w:type="dxa"/>
          </w:tcPr>
          <w:p>
            <w:pPr/>
            <w:r>
              <w:t xml:space="preserve">I</w:t>
            </w:r>
          </w:p>
        </w:tc>
        <w:tc>
          <w:tcPr>
            <w:tcW w:w="1040" w:type="dxa"/>
          </w:tcPr>
          <w:p>
            <w:pPr/>
            <w:r>
              <w:t xml:space="preserve">I</w:t>
            </w:r>
          </w:p>
        </w:tc>
        <w:tc>
          <w:tcPr>
            <w:tcW w:w="830" w:type="dxa"/>
          </w:tcPr>
          <w:p>
            <w:pPr/>
            <w:r>
              <w:t xml:space="preserve">I</w:t>
            </w:r>
          </w:p>
        </w:tc>
        <w:tc>
          <w:tcPr>
            <w:tcW w:w="1024" w:type="dxa"/>
          </w:tcPr>
          <w:p>
            <w:pPr/>
            <w:r>
              <w:t xml:space="preserve">A</w:t>
            </w:r>
          </w:p>
        </w:tc>
        <w:tc>
          <w:tcPr>
            <w:tcW w:w="1040" w:type="dxa"/>
          </w:tcPr>
          <w:p>
            <w:pPr/>
            <w:r>
              <w:t xml:space="preserve">C</w:t>
            </w:r>
          </w:p>
        </w:tc>
      </w:tr>
      <w:tr>
        <w:tc>
          <w:tcPr>
            <w:tcW w:w="2478" w:type="dxa"/>
          </w:tcPr>
          <w:p>
            <w:pPr/>
            <w:r>
              <w:t xml:space="preserve">Contrato por resultado con contratistas</w:t>
            </w:r>
          </w:p>
        </w:tc>
        <w:tc>
          <w:tcPr>
            <w:tcW w:w="720" w:type="dxa"/>
          </w:tcPr>
          <w:p>
            <w:pPr/>
            <w:r>
              <w:t xml:space="preserve">I</w:t>
            </w:r>
          </w:p>
        </w:tc>
        <w:tc>
          <w:tcPr>
            <w:tcW w:w="788" w:type="dxa"/>
          </w:tcPr>
          <w:p>
            <w:pPr/>
            <w:r>
              <w:t xml:space="preserve">C</w:t>
            </w:r>
          </w:p>
        </w:tc>
        <w:tc>
          <w:tcPr>
            <w:tcW w:w="720" w:type="dxa"/>
          </w:tcPr>
          <w:p>
            <w:pPr/>
            <w:r>
              <w:t xml:space="preserve">A</w:t>
            </w:r>
          </w:p>
        </w:tc>
        <w:tc>
          <w:tcPr>
            <w:tcW w:w="720" w:type="dxa"/>
          </w:tcPr>
          <w:p>
            <w:pPr/>
            <w:r>
              <w:t xml:space="preserve">C</w:t>
            </w:r>
          </w:p>
        </w:tc>
        <w:tc>
          <w:tcPr>
            <w:tcW w:w="1040" w:type="dxa"/>
          </w:tcPr>
          <w:p>
            <w:pPr/>
            <w:r>
              <w:t xml:space="preserve">I</w:t>
            </w:r>
          </w:p>
        </w:tc>
        <w:tc>
          <w:tcPr>
            <w:tcW w:w="830" w:type="dxa"/>
          </w:tcPr>
          <w:p>
            <w:pPr/>
            <w:r>
              <w:t xml:space="preserve">I</w:t>
            </w:r>
          </w:p>
        </w:tc>
        <w:tc>
          <w:tcPr>
            <w:tcW w:w="1024" w:type="dxa"/>
          </w:tcPr>
          <w:p>
            <w:pPr/>
            <w:r>
              <w:t xml:space="preserve">I</w:t>
            </w:r>
          </w:p>
        </w:tc>
        <w:tc>
          <w:tcPr>
            <w:tcW w:w="1040" w:type="dxa"/>
          </w:tcPr>
          <w:p>
            <w:pPr/>
            <w:r>
              <w:t xml:space="preserve">C</w:t>
            </w:r>
          </w:p>
        </w:tc>
      </w:tr>
    </w:tbl>
    <w:p>
      <w:pPr>
        <w:pStyle w:val="Heading2"/>
      </w:pPr>
      <w:r>
        <w:t xml:space="preserve">Anexo B · Detalle financiero y caso de negocio</w:t>
      </w:r>
    </w:p>
    <w:p>
      <w:pPr/>
      <w:r>
        <w:t xml:space="preserve">El plan invierte USD 5,4 M en 2027 (contingencia incluida), deja USD 8,8 M netos por año a régimen, recupera la inversión en Q1 2028 y tiene un VAN a 5 años de USD 21,0 M antes de impuestos (USD 13,4 M después) con WACC del 16%.</w:t>
      </w:r>
    </w:p>
    <w:p>
      <w:pPr>
        <w:pStyle w:val="Heading3"/>
      </w:pPr>
      <w:r>
        <w:t xml:space="preserve">Pérdida actual: USD 25,6 M por año</w:t>
      </w:r>
    </w:p>
    <w:p>
      <w:pPr/>
      <w:r>
        <w:t xml:space="preserve">Todas las visitas cuestan lo mismo, propias o tercerizadas: USD 32. Base anual: 1,78 M de visitas para 1,21 M de órdenes resueltas (148 visitas cada 100 órdenes), USD 57,0 M de costo de campo.</w:t>
      </w:r>
    </w:p>
    <w:tbl>
      <w:tblPr>
        <w:tblStyle w:val="TableGrid"/>
        <w:tblW w:w="0" w:type="auto"/>
        <w:tblLayout w:type="fixed"/>
        <w:tblLook w:val="04A0" w:firstRow="1" w:lastRow="0" w:firstColumn="0" w:lastColumn="0" w:noHBand="0" w:noVBand="1"/>
      </w:tblPr>
      <w:tblGrid>
        <w:gridCol w:w="2017"/>
        <w:gridCol w:w="4920"/>
        <w:gridCol w:w="2423"/>
      </w:tblGrid>
      <w:tr>
        <w:trPr>
          <w:tblHeader/>
        </w:trPr>
        <w:tc>
          <w:tcPr>
            <w:tcW w:w="2017" w:type="dxa"/>
            <w:shd w:val="clear" w:color="auto" w:fill="F2F2F2"/>
          </w:tcPr>
          <w:p>
            <w:pPr/>
            <w:r>
              <w:t xml:space="preserve">Componente</w:t>
            </w:r>
          </w:p>
        </w:tc>
        <w:tc>
          <w:tcPr>
            <w:tcW w:w="4920" w:type="dxa"/>
            <w:shd w:val="clear" w:color="auto" w:fill="F2F2F2"/>
          </w:tcPr>
          <w:p>
            <w:pPr/>
            <w:r>
              <w:t xml:space="preserve">Fórmula</w:t>
            </w:r>
          </w:p>
        </w:tc>
        <w:tc>
          <w:tcPr>
            <w:tcW w:w="2423" w:type="dxa"/>
            <w:shd w:val="clear" w:color="auto" w:fill="F2F2F2"/>
          </w:tcPr>
          <w:p>
            <w:pPr/>
            <w:r>
              <w:t xml:space="preserve">USD M/año</w:t>
            </w:r>
          </w:p>
        </w:tc>
      </w:tr>
      <w:tr>
        <w:tc>
          <w:tcPr>
            <w:tcW w:w="2017" w:type="dxa"/>
          </w:tcPr>
          <w:p>
            <w:pPr/>
            <w:r>
              <w:t xml:space="preserve">Revisitas</w:t>
            </w:r>
          </w:p>
        </w:tc>
        <w:tc>
          <w:tcPr>
            <w:tcW w:w="4920" w:type="dxa"/>
          </w:tcPr>
          <w:p>
            <w:pPr/>
            <w:r>
              <w:t xml:space="preserve">434.000 revisitas (337.600 de reparación + 96.400 de instalación) × USD 32</w:t>
            </w:r>
          </w:p>
        </w:tc>
        <w:tc>
          <w:tcPr>
            <w:tcW w:w="2423" w:type="dxa"/>
          </w:tcPr>
          <w:p>
            <w:pPr/>
            <w:r>
              <w:t xml:space="preserve">13,9</w:t>
            </w:r>
          </w:p>
        </w:tc>
      </w:tr>
      <w:tr>
        <w:tc>
          <w:tcPr>
            <w:tcW w:w="2017" w:type="dxa"/>
          </w:tcPr>
          <w:p>
            <w:pPr/>
            <w:r>
              <w:t xml:space="preserve">Visitas evitables</w:t>
            </w:r>
          </w:p>
        </w:tc>
        <w:tc>
          <w:tcPr>
            <w:tcW w:w="4920" w:type="dxa"/>
          </w:tcPr>
          <w:p>
            <w:pPr/>
            <w:r>
              <w:t xml:space="preserve">181.000 visitas que se podían resolver a distancia × USD 32</w:t>
            </w:r>
          </w:p>
        </w:tc>
        <w:tc>
          <w:tcPr>
            <w:tcW w:w="2423" w:type="dxa"/>
          </w:tcPr>
          <w:p>
            <w:pPr/>
            <w:r>
              <w:t xml:space="preserve">5,8</w:t>
            </w:r>
          </w:p>
        </w:tc>
      </w:tr>
      <w:tr>
        <w:tc>
          <w:tcPr>
            <w:tcW w:w="2017" w:type="dxa"/>
          </w:tcPr>
          <w:p>
            <w:pPr/>
            <w:r>
              <w:t xml:space="preserve">Visitas fallidas</w:t>
            </w:r>
          </w:p>
        </w:tc>
        <w:tc>
          <w:tcPr>
            <w:tcW w:w="4920" w:type="dxa"/>
          </w:tcPr>
          <w:p>
            <w:pPr/>
            <w:r>
              <w:t xml:space="preserve">144.700 visitas con cliente ausente o sin acceso (8,1% de las visitas) × USD 32</w:t>
            </w:r>
          </w:p>
        </w:tc>
        <w:tc>
          <w:tcPr>
            <w:tcW w:w="2423" w:type="dxa"/>
          </w:tcPr>
          <w:p>
            <w:pPr/>
            <w:r>
              <w:t xml:space="preserve">4,6</w:t>
            </w:r>
          </w:p>
        </w:tc>
      </w:tr>
      <w:tr>
        <w:tc>
          <w:tcPr>
            <w:tcW w:w="2017" w:type="dxa"/>
          </w:tcPr>
          <w:p>
            <w:pPr/>
            <w:r>
              <w:t xml:space="preserve">Bonificaciones</w:t>
            </w:r>
          </w:p>
        </w:tc>
        <w:tc>
          <w:tcPr>
            <w:tcW w:w="4920" w:type="dxa"/>
          </w:tcPr>
          <w:p>
            <w:pPr/>
            <w:r>
              <w:t xml:space="preserve">Créditos otorgados por fallas repetidas</w:t>
            </w:r>
          </w:p>
        </w:tc>
        <w:tc>
          <w:tcPr>
            <w:tcW w:w="2423" w:type="dxa"/>
          </w:tcPr>
          <w:p>
            <w:pPr/>
            <w:r>
              <w:t xml:space="preserve">1,3</w:t>
            </w:r>
          </w:p>
        </w:tc>
      </w:tr>
      <w:tr>
        <w:tc>
          <w:tcPr>
            <w:tcW w:w="2017" w:type="dxa"/>
          </w:tcPr>
          <w:p>
            <w:pPr/>
            <w:r>
              <w:rPr>
                <w:b/>
              </w:rPr>
              <w:t xml:space="preserve">Total</w:t>
            </w:r>
          </w:p>
        </w:tc>
        <w:tc>
          <w:tcPr>
            <w:tcW w:w="4920" w:type="dxa"/>
          </w:tcPr>
          <w:p>
            <w:pPr/>
          </w:p>
        </w:tc>
        <w:tc>
          <w:tcPr>
            <w:tcW w:w="2423" w:type="dxa"/>
          </w:tcPr>
          <w:p>
            <w:pPr/>
            <w:r>
              <w:rPr>
                <w:b/>
              </w:rPr>
              <w:t xml:space="preserve">25,6</w:t>
            </w:r>
            <w:r>
              <w:t xml:space="preserve"> (USD 2,1 M por mes; 45% del costo de campo)</w:t>
            </w:r>
          </w:p>
        </w:tc>
      </w:tr>
    </w:tbl>
    <w:p>
      <w:pPr/>
      <w:r>
        <w:t xml:space="preserve">Las visitas evitables salen de la muestra de cierres del diagnóstico: reinicios, configuración de equipo y fallas de red ya conocidas al momento del reclamo.</w:t>
      </w:r>
    </w:p>
    <w:p>
      <w:pPr>
        <w:pStyle w:val="Heading3"/>
      </w:pPr>
      <w:r>
        <w:t xml:space="preserve">Beneficio a régimen por palanca</w:t>
      </w:r>
    </w:p>
    <w:p>
      <w:pPr/>
      <w:r>
        <w:t xml:space="preserve">Las cifras ya excluyen el 10% de órdenes que queda como grupo de control (anexo E).</w:t>
      </w:r>
    </w:p>
    <w:tbl>
      <w:tblPr>
        <w:tblStyle w:val="TableGrid"/>
        <w:tblW w:w="0" w:type="auto"/>
        <w:tblLayout w:type="fixed"/>
        <w:tblLook w:val="04A0" w:firstRow="1" w:lastRow="0" w:firstColumn="0" w:lastColumn="0" w:noHBand="0" w:noVBand="1"/>
      </w:tblPr>
      <w:tblGrid>
        <w:gridCol w:w="2127"/>
        <w:gridCol w:w="989"/>
        <w:gridCol w:w="3576"/>
        <w:gridCol w:w="1187"/>
        <w:gridCol w:w="1481"/>
      </w:tblGrid>
      <w:tr>
        <w:trPr>
          <w:tblHeader/>
        </w:trPr>
        <w:tc>
          <w:tcPr>
            <w:tcW w:w="2127" w:type="dxa"/>
            <w:shd w:val="clear" w:color="auto" w:fill="F2F2F2"/>
          </w:tcPr>
          <w:p>
            <w:pPr/>
            <w:r>
              <w:t xml:space="preserve">Palanca</w:t>
            </w:r>
          </w:p>
        </w:tc>
        <w:tc>
          <w:tcPr>
            <w:tcW w:w="989" w:type="dxa"/>
            <w:shd w:val="clear" w:color="auto" w:fill="F2F2F2"/>
          </w:tcPr>
          <w:p>
            <w:pPr/>
            <w:r>
              <w:t xml:space="preserve">Tipo</w:t>
            </w:r>
          </w:p>
        </w:tc>
        <w:tc>
          <w:tcPr>
            <w:tcW w:w="3576" w:type="dxa"/>
            <w:shd w:val="clear" w:color="auto" w:fill="F2F2F2"/>
          </w:tcPr>
          <w:p>
            <w:pPr/>
            <w:r>
              <w:t xml:space="preserve">Cálculo</w:t>
            </w:r>
          </w:p>
        </w:tc>
        <w:tc>
          <w:tcPr>
            <w:tcW w:w="1187" w:type="dxa"/>
            <w:shd w:val="clear" w:color="auto" w:fill="F2F2F2"/>
          </w:tcPr>
          <w:p>
            <w:pPr/>
            <w:r>
              <w:t xml:space="preserve">Visitas liberadas</w:t>
            </w:r>
          </w:p>
        </w:tc>
        <w:tc>
          <w:tcPr>
            <w:tcW w:w="1481" w:type="dxa"/>
            <w:shd w:val="clear" w:color="auto" w:fill="F2F2F2"/>
          </w:tcPr>
          <w:p>
            <w:pPr/>
            <w:r>
              <w:t xml:space="preserve">USD M/año</w:t>
            </w:r>
          </w:p>
        </w:tc>
      </w:tr>
      <w:tr>
        <w:tc>
          <w:tcPr>
            <w:tcW w:w="2127" w:type="dxa"/>
          </w:tcPr>
          <w:p>
            <w:pPr/>
            <w:r>
              <w:t xml:space="preserve">1 · Evitar la visita (triage remoto)</w:t>
            </w:r>
          </w:p>
        </w:tc>
        <w:tc>
          <w:tcPr>
            <w:tcW w:w="989" w:type="dxa"/>
          </w:tcPr>
          <w:p>
            <w:pPr/>
            <w:r>
              <w:t xml:space="preserve">Ahorro</w:t>
            </w:r>
          </w:p>
        </w:tc>
        <w:tc>
          <w:tcPr>
            <w:tcW w:w="3576" w:type="dxa"/>
          </w:tcPr>
          <w:p>
            <w:pPr/>
            <w:r>
              <w:t xml:space="preserve">10% de 1,21 M de órdenes = 120.000 visitas × USD 32, menos USD 2,5 de costo de resolución remota por caso</w:t>
            </w:r>
          </w:p>
        </w:tc>
        <w:tc>
          <w:tcPr>
            <w:tcW w:w="1187" w:type="dxa"/>
          </w:tcPr>
          <w:p>
            <w:pPr/>
            <w:r>
              <w:t xml:space="preserve">120.000</w:t>
            </w:r>
          </w:p>
        </w:tc>
        <w:tc>
          <w:tcPr>
            <w:tcW w:w="1481" w:type="dxa"/>
          </w:tcPr>
          <w:p>
            <w:pPr/>
            <w:r>
              <w:t xml:space="preserve">3,54</w:t>
            </w:r>
          </w:p>
        </w:tc>
      </w:tr>
      <w:tr>
        <w:tc>
          <w:tcPr>
            <w:tcW w:w="2127" w:type="dxa"/>
          </w:tcPr>
          <w:p>
            <w:pPr/>
            <w:r>
              <w:t xml:space="preserve">2 · Despachar bien</w:t>
            </w:r>
          </w:p>
        </w:tc>
        <w:tc>
          <w:tcPr>
            <w:tcW w:w="989" w:type="dxa"/>
          </w:tcPr>
          <w:p>
            <w:pPr/>
            <w:r>
              <w:t xml:space="preserve">Ahorro</w:t>
            </w:r>
          </w:p>
        </w:tc>
        <w:tc>
          <w:tcPr>
            <w:tcW w:w="3576" w:type="dxa"/>
          </w:tcPr>
          <w:p>
            <w:pPr/>
            <w:r>
              <w:t xml:space="preserve">Visitas fallidas de 8% a 5%: 3 pp × 1,78 M = 53.500 visitas × USD 32</w:t>
            </w:r>
          </w:p>
        </w:tc>
        <w:tc>
          <w:tcPr>
            <w:tcW w:w="1187" w:type="dxa"/>
          </w:tcPr>
          <w:p>
            <w:pPr/>
            <w:r>
              <w:t xml:space="preserve">53.500</w:t>
            </w:r>
          </w:p>
        </w:tc>
        <w:tc>
          <w:tcPr>
            <w:tcW w:w="1481" w:type="dxa"/>
          </w:tcPr>
          <w:p>
            <w:pPr/>
            <w:r>
              <w:t xml:space="preserve">1,71</w:t>
            </w:r>
          </w:p>
        </w:tc>
      </w:tr>
      <w:tr>
        <w:tc>
          <w:tcPr>
            <w:tcW w:w="2127" w:type="dxa"/>
          </w:tcPr>
          <w:p>
            <w:pPr/>
            <w:r>
              <w:t xml:space="preserve">3 · Llegar preparado y resolver a la primera</w:t>
            </w:r>
          </w:p>
        </w:tc>
        <w:tc>
          <w:tcPr>
            <w:tcW w:w="989" w:type="dxa"/>
          </w:tcPr>
          <w:p>
            <w:pPr/>
            <w:r>
              <w:t xml:space="preserve">Ahorro</w:t>
            </w:r>
          </w:p>
        </w:tc>
        <w:tc>
          <w:tcPr>
            <w:tcW w:w="3576" w:type="dxa"/>
          </w:tcPr>
          <w:p>
            <w:pPr/>
            <w:r>
              <w:t xml:space="preserve">First-time fix de 75% a 82%: 115.000 revisitas de reparación evitadas × USD 32</w:t>
            </w:r>
          </w:p>
        </w:tc>
        <w:tc>
          <w:tcPr>
            <w:tcW w:w="1187" w:type="dxa"/>
          </w:tcPr>
          <w:p>
            <w:pPr/>
            <w:r>
              <w:t xml:space="preserve">115.000</w:t>
            </w:r>
          </w:p>
        </w:tc>
        <w:tc>
          <w:tcPr>
            <w:tcW w:w="1481" w:type="dxa"/>
          </w:tcPr>
          <w:p>
            <w:pPr/>
            <w:r>
              <w:t xml:space="preserve">3,68</w:t>
            </w:r>
          </w:p>
        </w:tc>
      </w:tr>
      <w:tr>
        <w:tc>
          <w:tcPr>
            <w:tcW w:w="2127" w:type="dxa"/>
          </w:tcPr>
          <w:p>
            <w:pPr/>
            <w:r>
              <w:t xml:space="preserve">4 · Cerrar y aprender (control de calidad por foto)</w:t>
            </w:r>
          </w:p>
        </w:tc>
        <w:tc>
          <w:tcPr>
            <w:tcW w:w="989" w:type="dxa"/>
          </w:tcPr>
          <w:p>
            <w:pPr/>
            <w:r>
              <w:t xml:space="preserve">Ahorro</w:t>
            </w:r>
          </w:p>
        </w:tc>
        <w:tc>
          <w:tcPr>
            <w:tcW w:w="3576" w:type="dxa"/>
          </w:tcPr>
          <w:p>
            <w:pPr/>
            <w:r>
              <w:t xml:space="preserve">Revisitas de instalación −25%: 24.000 × USD 32</w:t>
            </w:r>
          </w:p>
        </w:tc>
        <w:tc>
          <w:tcPr>
            <w:tcW w:w="1187" w:type="dxa"/>
          </w:tcPr>
          <w:p>
            <w:pPr/>
            <w:r>
              <w:t xml:space="preserve">24.000</w:t>
            </w:r>
          </w:p>
        </w:tc>
        <w:tc>
          <w:tcPr>
            <w:tcW w:w="1481" w:type="dxa"/>
          </w:tcPr>
          <w:p>
            <w:pPr/>
            <w:r>
              <w:t xml:space="preserve">0,77</w:t>
            </w:r>
          </w:p>
        </w:tc>
      </w:tr>
      <w:tr>
        <w:tc>
          <w:tcPr>
            <w:tcW w:w="2127" w:type="dxa"/>
          </w:tcPr>
          <w:p>
            <w:pPr/>
            <w:r>
              <w:t xml:space="preserve">5 · Menos fallas repetidas</w:t>
            </w:r>
          </w:p>
        </w:tc>
        <w:tc>
          <w:tcPr>
            <w:tcW w:w="989" w:type="dxa"/>
          </w:tcPr>
          <w:p>
            <w:pPr/>
            <w:r>
              <w:t xml:space="preserve">Ingreso</w:t>
            </w:r>
          </w:p>
        </w:tc>
        <w:tc>
          <w:tcPr>
            <w:tcW w:w="3576" w:type="dxa"/>
          </w:tcPr>
          <w:p>
            <w:pPr/>
            <w:r>
              <w:t xml:space="preserve">Bonificaciones −28%: USD 1,3 M × 28%</w:t>
            </w:r>
          </w:p>
        </w:tc>
        <w:tc>
          <w:tcPr>
            <w:tcW w:w="1187" w:type="dxa"/>
          </w:tcPr>
          <w:p>
            <w:pPr/>
            <w:r>
              <w:t xml:space="preserve">—</w:t>
            </w:r>
          </w:p>
        </w:tc>
        <w:tc>
          <w:tcPr>
            <w:tcW w:w="1481" w:type="dxa"/>
          </w:tcPr>
          <w:p>
            <w:pPr/>
            <w:r>
              <w:t xml:space="preserve">0,36</w:t>
            </w:r>
          </w:p>
        </w:tc>
      </w:tr>
      <w:tr>
        <w:tc>
          <w:tcPr>
            <w:tcW w:w="2127" w:type="dxa"/>
          </w:tcPr>
          <w:p>
            <w:pPr/>
            <w:r>
              <w:rPr>
                <w:b/>
              </w:rPr>
              <w:t xml:space="preserve">Beneficio bruto</w:t>
            </w:r>
          </w:p>
        </w:tc>
        <w:tc>
          <w:tcPr>
            <w:tcW w:w="989" w:type="dxa"/>
          </w:tcPr>
          <w:p>
            <w:pPr/>
          </w:p>
        </w:tc>
        <w:tc>
          <w:tcPr>
            <w:tcW w:w="3576" w:type="dxa"/>
          </w:tcPr>
          <w:p>
            <w:pPr/>
          </w:p>
        </w:tc>
        <w:tc>
          <w:tcPr>
            <w:tcW w:w="1187" w:type="dxa"/>
          </w:tcPr>
          <w:p>
            <w:pPr/>
            <w:r>
              <w:rPr>
                <w:b/>
              </w:rPr>
              <w:t xml:space="preserve">312.500</w:t>
            </w:r>
          </w:p>
        </w:tc>
        <w:tc>
          <w:tcPr>
            <w:tcW w:w="1481" w:type="dxa"/>
          </w:tcPr>
          <w:p>
            <w:pPr/>
            <w:r>
              <w:rPr>
                <w:b/>
              </w:rPr>
              <w:t xml:space="preserve">10,06</w:t>
            </w:r>
          </w:p>
        </w:tc>
      </w:tr>
      <w:tr>
        <w:tc>
          <w:tcPr>
            <w:tcW w:w="2127" w:type="dxa"/>
          </w:tcPr>
          <w:p>
            <w:pPr/>
            <w:r>
              <w:t xml:space="preserve">Opex recurrente de la IA</w:t>
            </w:r>
          </w:p>
        </w:tc>
        <w:tc>
          <w:tcPr>
            <w:tcW w:w="989" w:type="dxa"/>
          </w:tcPr>
          <w:p>
            <w:pPr/>
            <w:r>
              <w:t xml:space="preserve">Costo</w:t>
            </w:r>
          </w:p>
        </w:tc>
        <w:tc>
          <w:tcPr>
            <w:tcW w:w="3576" w:type="dxa"/>
          </w:tcPr>
          <w:p>
            <w:pPr/>
            <w:r>
              <w:t xml:space="preserve">Consumo de modelos 0,55 + nube y plataforma 0,35 + operación de modelos 0,40</w:t>
            </w:r>
          </w:p>
        </w:tc>
        <w:tc>
          <w:tcPr>
            <w:tcW w:w="1187" w:type="dxa"/>
          </w:tcPr>
          <w:p>
            <w:pPr/>
          </w:p>
        </w:tc>
        <w:tc>
          <w:tcPr>
            <w:tcW w:w="1481" w:type="dxa"/>
          </w:tcPr>
          <w:p>
            <w:pPr/>
            <w:r>
              <w:t xml:space="preserve">−1,30</w:t>
            </w:r>
          </w:p>
        </w:tc>
      </w:tr>
      <w:tr>
        <w:tc>
          <w:tcPr>
            <w:tcW w:w="2127" w:type="dxa"/>
          </w:tcPr>
          <w:p>
            <w:pPr/>
            <w:r>
              <w:rPr>
                <w:b/>
              </w:rPr>
              <w:t xml:space="preserve">Beneficio neto a régimen</w:t>
            </w:r>
          </w:p>
        </w:tc>
        <w:tc>
          <w:tcPr>
            <w:tcW w:w="989" w:type="dxa"/>
          </w:tcPr>
          <w:p>
            <w:pPr/>
          </w:p>
        </w:tc>
        <w:tc>
          <w:tcPr>
            <w:tcW w:w="3576" w:type="dxa"/>
          </w:tcPr>
          <w:p>
            <w:pPr/>
          </w:p>
        </w:tc>
        <w:tc>
          <w:tcPr>
            <w:tcW w:w="1187" w:type="dxa"/>
          </w:tcPr>
          <w:p>
            <w:pPr/>
          </w:p>
        </w:tc>
        <w:tc>
          <w:tcPr>
            <w:tcW w:w="1481" w:type="dxa"/>
          </w:tcPr>
          <w:p>
            <w:pPr/>
            <w:r>
              <w:rPr>
                <w:b/>
              </w:rPr>
              <w:t xml:space="preserve">8,76 ≈ 8,8</w:t>
            </w:r>
          </w:p>
        </w:tc>
      </w:tr>
    </w:tbl>
    <w:p>
      <w:pPr/>
      <w:r>
        <w:t xml:space="preserve">Lectura de los números del deck:</w:t>
      </w:r>
    </w:p>
    <w:p>
      <w:pPr>
        <w:pStyle w:val="ListParagraph"/>
        <w:numPr>
          <w:ilvl w:val="0"/>
          <w:numId w:val="4"/>
        </w:numPr>
      </w:pPr>
      <w:r>
        <w:rPr>
          <w:b/>
        </w:rPr>
        <w:t xml:space="preserve">Ahorro de USD 9,7 M (−17%):</w:t>
      </w:r>
      <w:r>
        <w:t xml:space="preserve"> suma de las palancas 1 a 4, verificable en las facturas de contratistas.</w:t>
      </w:r>
    </w:p>
    <w:p>
      <w:pPr>
        <w:pStyle w:val="ListParagraph"/>
        <w:numPr>
          <w:ilvl w:val="0"/>
          <w:numId w:val="4"/>
        </w:numPr>
      </w:pPr>
      <w:r>
        <w:rPr>
          <w:b/>
        </w:rPr>
        <w:t xml:space="preserve">Captura:</w:t>
      </w:r>
      <w:r>
        <w:t xml:space="preserve"> 39% bruta (10,1 / 25,6) y 34% neta (8,8 / 25,6).</w:t>
      </w:r>
    </w:p>
    <w:p>
      <w:pPr>
        <w:pStyle w:val="ListParagraph"/>
        <w:numPr>
          <w:ilvl w:val="0"/>
          <w:numId w:val="4"/>
        </w:numPr>
      </w:pPr>
      <w:r>
        <w:rPr>
          <w:b/>
        </w:rPr>
        <w:t xml:space="preserve">Métrica norte:</w:t>
      </w:r>
      <w:r>
        <w:t xml:space="preserve"> (57,0 − 9,7 + 1,3) / 1,21 M de órdenes = USD 40,3 por orden resuelta, contra USD 47,3 hoy. El opex de IA entra en la métrica para que el ahorro no se exagere.</w:t>
      </w:r>
    </w:p>
    <w:p>
      <w:pPr>
        <w:pStyle w:val="ListParagraph"/>
        <w:numPr>
          <w:ilvl w:val="0"/>
          <w:numId w:val="4"/>
        </w:numPr>
      </w:pPr>
      <w:r>
        <w:rPr>
          <w:b/>
        </w:rPr>
        <w:t xml:space="preserve">RPU neto de campo:</w:t>
      </w:r>
      <w:r>
        <w:t xml:space="preserve"> 8,8 M / 1,6 M de abonados / 12 = +USD 0,46 por abonado y mes (de 18,96 a 19,42).</w:t>
      </w:r>
    </w:p>
    <w:p>
      <w:pPr>
        <w:pStyle w:val="ListParagraph"/>
        <w:numPr>
          <w:ilvl w:val="0"/>
          <w:numId w:val="4"/>
        </w:numPr>
      </w:pPr>
      <w:r>
        <w:rPr>
          <w:b/>
        </w:rPr>
        <w:t xml:space="preserve">Triage y gate:</w:t>
      </w:r>
      <w:r>
        <w:t xml:space="preserve"> a régimen el triage atiende la mitad de los reclamos de reparación y resuelve el 20% de los que atiende: 50% × 20% = 10% de las órdenes.</w:t>
      </w:r>
    </w:p>
    <w:p>
      <w:pPr>
        <w:pStyle w:val="ListParagraph"/>
        <w:numPr>
          <w:ilvl w:val="0"/>
          <w:numId w:val="4"/>
        </w:numPr>
      </w:pPr>
      <w:r>
        <w:rPr>
          <w:b/>
        </w:rPr>
        <w:t xml:space="preserve">No se cuenta como beneficio</w:t>
      </w:r>
      <w:r>
        <w:t xml:space="preserve"> la baja del papeleo (60 a 35 minutos por día): es tiempo, no factura.</w:t>
      </w:r>
    </w:p>
    <w:p>
      <w:pPr>
        <w:pStyle w:val="Heading3"/>
      </w:pPr>
      <w:r>
        <w:t xml:space="preserve">Inversión 2027 por trimestre y tramo</w:t>
      </w:r>
    </w:p>
    <w:tbl>
      <w:tblPr>
        <w:tblStyle w:val="TableGrid"/>
        <w:tblW w:w="0" w:type="auto"/>
        <w:tblLayout w:type="fixed"/>
        <w:tblLook w:val="04A0" w:firstRow="1" w:lastRow="0" w:firstColumn="0" w:lastColumn="0" w:noHBand="0" w:noVBand="1"/>
      </w:tblPr>
      <w:tblGrid>
        <w:gridCol w:w="1560"/>
        <w:gridCol w:w="915"/>
        <w:gridCol w:w="2975"/>
        <w:gridCol w:w="1560"/>
        <w:gridCol w:w="1560"/>
        <w:gridCol w:w="790"/>
      </w:tblGrid>
      <w:tr>
        <w:trPr>
          <w:tblHeader/>
        </w:trPr>
        <w:tc>
          <w:tcPr>
            <w:tcW w:w="1560" w:type="dxa"/>
            <w:shd w:val="clear" w:color="auto" w:fill="F2F2F2"/>
          </w:tcPr>
          <w:p>
            <w:pPr/>
            <w:r>
              <w:t xml:space="preserve">Trimestre</w:t>
            </w:r>
          </w:p>
        </w:tc>
        <w:tc>
          <w:tcPr>
            <w:tcW w:w="915" w:type="dxa"/>
            <w:shd w:val="clear" w:color="auto" w:fill="F2F2F2"/>
          </w:tcPr>
          <w:p>
            <w:pPr/>
            <w:r>
              <w:t xml:space="preserve">Tramo</w:t>
            </w:r>
          </w:p>
        </w:tc>
        <w:tc>
          <w:tcPr>
            <w:tcW w:w="2975" w:type="dxa"/>
            <w:shd w:val="clear" w:color="auto" w:fill="F2F2F2"/>
          </w:tcPr>
          <w:p>
            <w:pPr/>
            <w:r>
              <w:t xml:space="preserve">Qué compra (USD M)</w:t>
            </w:r>
          </w:p>
        </w:tc>
        <w:tc>
          <w:tcPr>
            <w:tcW w:w="1560" w:type="dxa"/>
            <w:shd w:val="clear" w:color="auto" w:fill="F2F2F2"/>
          </w:tcPr>
          <w:p>
            <w:pPr/>
            <w:r>
              <w:t xml:space="preserve">Componentes</w:t>
            </w:r>
          </w:p>
        </w:tc>
        <w:tc>
          <w:tcPr>
            <w:tcW w:w="1560" w:type="dxa"/>
            <w:shd w:val="clear" w:color="auto" w:fill="F2F2F2"/>
          </w:tcPr>
          <w:p>
            <w:pPr/>
            <w:r>
              <w:t xml:space="preserve">Contingencia 15%</w:t>
            </w:r>
          </w:p>
        </w:tc>
        <w:tc>
          <w:tcPr>
            <w:tcW w:w="790" w:type="dxa"/>
            <w:shd w:val="clear" w:color="auto" w:fill="F2F2F2"/>
          </w:tcPr>
          <w:p>
            <w:pPr/>
            <w:r>
              <w:t xml:space="preserve">Total</w:t>
            </w:r>
          </w:p>
        </w:tc>
      </w:tr>
      <w:tr>
        <w:tc>
          <w:tcPr>
            <w:tcW w:w="1560" w:type="dxa"/>
          </w:tcPr>
          <w:p>
            <w:pPr/>
            <w:r>
              <w:t xml:space="preserve">Q1 · Cimientos</w:t>
            </w:r>
          </w:p>
        </w:tc>
        <w:tc>
          <w:tcPr>
            <w:tcW w:w="915" w:type="dxa"/>
          </w:tcPr>
          <w:p>
            <w:pPr/>
            <w:r>
              <w:t xml:space="preserve">1</w:t>
            </w:r>
          </w:p>
        </w:tc>
        <w:tc>
          <w:tcPr>
            <w:tcW w:w="2975" w:type="dxa"/>
          </w:tcPr>
          <w:p>
            <w:pPr/>
            <w:r>
              <w:t xml:space="preserve">Datos 0,48 · aviso proactivo 0,15 · triage 0,15 · gobierno y equipo 0,40</w:t>
            </w:r>
          </w:p>
        </w:tc>
        <w:tc>
          <w:tcPr>
            <w:tcW w:w="1560" w:type="dxa"/>
          </w:tcPr>
          <w:p>
            <w:pPr/>
            <w:r>
              <w:t xml:space="preserve">1,18</w:t>
            </w:r>
          </w:p>
        </w:tc>
        <w:tc>
          <w:tcPr>
            <w:tcW w:w="1560" w:type="dxa"/>
          </w:tcPr>
          <w:p>
            <w:pPr/>
            <w:r>
              <w:t xml:space="preserve">0,17</w:t>
            </w:r>
          </w:p>
        </w:tc>
        <w:tc>
          <w:tcPr>
            <w:tcW w:w="790" w:type="dxa"/>
          </w:tcPr>
          <w:p>
            <w:pPr/>
            <w:r>
              <w:t xml:space="preserve">1,35</w:t>
            </w:r>
          </w:p>
        </w:tc>
      </w:tr>
      <w:tr>
        <w:tc>
          <w:tcPr>
            <w:tcW w:w="1560" w:type="dxa"/>
          </w:tcPr>
          <w:p>
            <w:pPr/>
            <w:r>
              <w:t xml:space="preserve">Q2 · Construcción</w:t>
            </w:r>
          </w:p>
        </w:tc>
        <w:tc>
          <w:tcPr>
            <w:tcW w:w="915" w:type="dxa"/>
          </w:tcPr>
          <w:p>
            <w:pPr/>
            <w:r>
              <w:t xml:space="preserve">1</w:t>
            </w:r>
          </w:p>
        </w:tc>
        <w:tc>
          <w:tcPr>
            <w:tcW w:w="2975" w:type="dxa"/>
          </w:tcPr>
          <w:p>
            <w:pPr/>
            <w:r>
              <w:t xml:space="preserve">Datos 0,42 · copiloto y foto 0,36 · triage 0,30 · despacho 0,15 · dictado y equipo 0,46</w:t>
            </w:r>
          </w:p>
        </w:tc>
        <w:tc>
          <w:tcPr>
            <w:tcW w:w="1560" w:type="dxa"/>
          </w:tcPr>
          <w:p>
            <w:pPr/>
            <w:r>
              <w:t xml:space="preserve">1,69</w:t>
            </w:r>
          </w:p>
        </w:tc>
        <w:tc>
          <w:tcPr>
            <w:tcW w:w="1560" w:type="dxa"/>
          </w:tcPr>
          <w:p>
            <w:pPr/>
            <w:r>
              <w:t xml:space="preserve">0,25</w:t>
            </w:r>
          </w:p>
        </w:tc>
        <w:tc>
          <w:tcPr>
            <w:tcW w:w="790" w:type="dxa"/>
          </w:tcPr>
          <w:p>
            <w:pPr/>
            <w:r>
              <w:t xml:space="preserve">1,94</w:t>
            </w:r>
          </w:p>
        </w:tc>
      </w:tr>
      <w:tr>
        <w:tc>
          <w:tcPr>
            <w:tcW w:w="1560" w:type="dxa"/>
          </w:tcPr>
          <w:p>
            <w:pPr/>
            <w:r>
              <w:t xml:space="preserve">Q3 · Escalado</w:t>
            </w:r>
          </w:p>
        </w:tc>
        <w:tc>
          <w:tcPr>
            <w:tcW w:w="915" w:type="dxa"/>
          </w:tcPr>
          <w:p>
            <w:pPr/>
            <w:r>
              <w:t xml:space="preserve">2</w:t>
            </w:r>
          </w:p>
        </w:tc>
        <w:tc>
          <w:tcPr>
            <w:tcW w:w="2975" w:type="dxa"/>
          </w:tcPr>
          <w:p>
            <w:pPr/>
            <w:r>
              <w:t xml:space="preserve">Despacho 0,25 · copiloto en todas las zonas 0,24 · datos y triage 0,27 · capacitación y equipo 0,36</w:t>
            </w:r>
          </w:p>
        </w:tc>
        <w:tc>
          <w:tcPr>
            <w:tcW w:w="1560" w:type="dxa"/>
          </w:tcPr>
          <w:p>
            <w:pPr/>
            <w:r>
              <w:t xml:space="preserve">1,12</w:t>
            </w:r>
          </w:p>
        </w:tc>
        <w:tc>
          <w:tcPr>
            <w:tcW w:w="1560" w:type="dxa"/>
          </w:tcPr>
          <w:p>
            <w:pPr/>
            <w:r>
              <w:t xml:space="preserve">0,17</w:t>
            </w:r>
          </w:p>
        </w:tc>
        <w:tc>
          <w:tcPr>
            <w:tcW w:w="790" w:type="dxa"/>
          </w:tcPr>
          <w:p>
            <w:pPr/>
            <w:r>
              <w:t xml:space="preserve">1,29</w:t>
            </w:r>
          </w:p>
        </w:tc>
      </w:tr>
      <w:tr>
        <w:tc>
          <w:tcPr>
            <w:tcW w:w="1560" w:type="dxa"/>
          </w:tcPr>
          <w:p>
            <w:pPr/>
            <w:r>
              <w:t xml:space="preserve">Q4 · Estabilización</w:t>
            </w:r>
          </w:p>
        </w:tc>
        <w:tc>
          <w:tcPr>
            <w:tcW w:w="915" w:type="dxa"/>
          </w:tcPr>
          <w:p>
            <w:pPr/>
            <w:r>
              <w:t xml:space="preserve">2</w:t>
            </w:r>
          </w:p>
        </w:tc>
        <w:tc>
          <w:tcPr>
            <w:tcW w:w="2975" w:type="dxa"/>
          </w:tcPr>
          <w:p>
            <w:pPr/>
            <w:r>
              <w:t xml:space="preserve">Cierre de componentes 0,40 · capacitación y equipo 0,32</w:t>
            </w:r>
          </w:p>
        </w:tc>
        <w:tc>
          <w:tcPr>
            <w:tcW w:w="1560" w:type="dxa"/>
          </w:tcPr>
          <w:p>
            <w:pPr/>
            <w:r>
              <w:t xml:space="preserve">0,72</w:t>
            </w:r>
          </w:p>
        </w:tc>
        <w:tc>
          <w:tcPr>
            <w:tcW w:w="1560" w:type="dxa"/>
          </w:tcPr>
          <w:p>
            <w:pPr/>
            <w:r>
              <w:t xml:space="preserve">0,10</w:t>
            </w:r>
          </w:p>
        </w:tc>
        <w:tc>
          <w:tcPr>
            <w:tcW w:w="790" w:type="dxa"/>
          </w:tcPr>
          <w:p>
            <w:pPr/>
            <w:r>
              <w:t xml:space="preserve">0,82</w:t>
            </w:r>
          </w:p>
        </w:tc>
      </w:tr>
      <w:tr>
        <w:tc>
          <w:tcPr>
            <w:tcW w:w="1560" w:type="dxa"/>
          </w:tcPr>
          <w:p>
            <w:pPr/>
            <w:r>
              <w:rPr>
                <w:b/>
              </w:rPr>
              <w:t xml:space="preserve">Total</w:t>
            </w:r>
          </w:p>
        </w:tc>
        <w:tc>
          <w:tcPr>
            <w:tcW w:w="915" w:type="dxa"/>
          </w:tcPr>
          <w:p>
            <w:pPr/>
          </w:p>
        </w:tc>
        <w:tc>
          <w:tcPr>
            <w:tcW w:w="2975" w:type="dxa"/>
          </w:tcPr>
          <w:p>
            <w:pPr/>
          </w:p>
        </w:tc>
        <w:tc>
          <w:tcPr>
            <w:tcW w:w="1560" w:type="dxa"/>
          </w:tcPr>
          <w:p>
            <w:pPr/>
            <w:r>
              <w:rPr>
                <w:b/>
              </w:rPr>
              <w:t xml:space="preserve">4,71</w:t>
            </w:r>
          </w:p>
        </w:tc>
        <w:tc>
          <w:tcPr>
            <w:tcW w:w="1560" w:type="dxa"/>
          </w:tcPr>
          <w:p>
            <w:pPr/>
            <w:r>
              <w:rPr>
                <w:b/>
              </w:rPr>
              <w:t xml:space="preserve">0,69</w:t>
            </w:r>
          </w:p>
        </w:tc>
        <w:tc>
          <w:tcPr>
            <w:tcW w:w="790" w:type="dxa"/>
          </w:tcPr>
          <w:p>
            <w:pPr/>
            <w:r>
              <w:rPr>
                <w:b/>
              </w:rPr>
              <w:t xml:space="preserve">5,40</w:t>
            </w:r>
          </w:p>
        </w:tc>
      </w:tr>
    </w:tbl>
    <w:p>
      <w:pPr/>
      <w:r>
        <w:t xml:space="preserve">Tramo 1 = USD 3,29 M (Q1 + Q2). Tramo 2 = USD 2,11 M (Q3 + Q4), liberado solo si se cumple el gate de Q2. La contingencia la administra el comité de IA; lo no usado vuelve al CFO.</w:t>
      </w:r>
    </w:p>
    <w:p>
      <w:pPr/>
      <w:r>
        <w:t xml:space="preserve">Por tipo de gasto: tecnología y plataforma USD 2,0 M, datos USD 1,4 M, talento y equipo USD 1,3 M, capacitación y cambio USD 0,7 M.</w:t>
      </w:r>
    </w:p>
    <w:p>
      <w:pPr>
        <w:pStyle w:val="Heading3"/>
      </w:pPr>
      <w:r>
        <w:t xml:space="preserve">Proyección a 5 años (USD M, antes de impuestos)</w:t>
      </w:r>
    </w:p>
    <w:tbl>
      <w:tblPr>
        <w:tblStyle w:val="TableGrid"/>
        <w:tblW w:w="0" w:type="auto"/>
        <w:tblLayout w:type="fixed"/>
        <w:tblLook w:val="04A0" w:firstRow="1" w:lastRow="0" w:firstColumn="0" w:lastColumn="0" w:noHBand="0" w:noVBand="1"/>
      </w:tblPr>
      <w:tblGrid>
        <w:gridCol w:w="4219"/>
        <w:gridCol w:w="1028"/>
        <w:gridCol w:w="1028"/>
        <w:gridCol w:w="1028"/>
        <w:gridCol w:w="1028"/>
        <w:gridCol w:w="1028"/>
      </w:tblGrid>
      <w:tr>
        <w:trPr>
          <w:tblHeader/>
        </w:trPr>
        <w:tc>
          <w:tcPr>
            <w:tcW w:w="4219" w:type="dxa"/>
            <w:shd w:val="clear" w:color="auto" w:fill="F2F2F2"/>
          </w:tcPr>
          <w:p>
            <w:pPr/>
            <w:r>
              <w:t xml:space="preserve">Concepto</w:t>
            </w:r>
          </w:p>
        </w:tc>
        <w:tc>
          <w:tcPr>
            <w:tcW w:w="1028" w:type="dxa"/>
            <w:shd w:val="clear" w:color="auto" w:fill="F2F2F2"/>
          </w:tcPr>
          <w:p>
            <w:pPr/>
            <w:r>
              <w:t xml:space="preserve">2027</w:t>
            </w:r>
          </w:p>
        </w:tc>
        <w:tc>
          <w:tcPr>
            <w:tcW w:w="1028" w:type="dxa"/>
            <w:shd w:val="clear" w:color="auto" w:fill="F2F2F2"/>
          </w:tcPr>
          <w:p>
            <w:pPr/>
            <w:r>
              <w:t xml:space="preserve">2028</w:t>
            </w:r>
          </w:p>
        </w:tc>
        <w:tc>
          <w:tcPr>
            <w:tcW w:w="1028" w:type="dxa"/>
            <w:shd w:val="clear" w:color="auto" w:fill="F2F2F2"/>
          </w:tcPr>
          <w:p>
            <w:pPr/>
            <w:r>
              <w:t xml:space="preserve">2029</w:t>
            </w:r>
          </w:p>
        </w:tc>
        <w:tc>
          <w:tcPr>
            <w:tcW w:w="1028" w:type="dxa"/>
            <w:shd w:val="clear" w:color="auto" w:fill="F2F2F2"/>
          </w:tcPr>
          <w:p>
            <w:pPr/>
            <w:r>
              <w:t xml:space="preserve">2030</w:t>
            </w:r>
          </w:p>
        </w:tc>
        <w:tc>
          <w:tcPr>
            <w:tcW w:w="1028" w:type="dxa"/>
            <w:shd w:val="clear" w:color="auto" w:fill="F2F2F2"/>
          </w:tcPr>
          <w:p>
            <w:pPr/>
            <w:r>
              <w:t xml:space="preserve">2031</w:t>
            </w:r>
          </w:p>
        </w:tc>
      </w:tr>
      <w:tr>
        <w:tc>
          <w:tcPr>
            <w:tcW w:w="4219" w:type="dxa"/>
          </w:tcPr>
          <w:p>
            <w:pPr/>
            <w:r>
              <w:t xml:space="preserve">Beneficio bruto</w:t>
            </w:r>
          </w:p>
        </w:tc>
        <w:tc>
          <w:tcPr>
            <w:tcW w:w="1028" w:type="dxa"/>
          </w:tcPr>
          <w:p>
            <w:pPr/>
            <w:r>
              <w:t xml:space="preserve">4,40</w:t>
            </w:r>
          </w:p>
        </w:tc>
        <w:tc>
          <w:tcPr>
            <w:tcW w:w="1028" w:type="dxa"/>
          </w:tcPr>
          <w:p>
            <w:pPr/>
            <w:r>
              <w:t xml:space="preserve">10,06</w:t>
            </w:r>
          </w:p>
        </w:tc>
        <w:tc>
          <w:tcPr>
            <w:tcW w:w="1028" w:type="dxa"/>
          </w:tcPr>
          <w:p>
            <w:pPr/>
            <w:r>
              <w:t xml:space="preserve">10,26</w:t>
            </w:r>
          </w:p>
        </w:tc>
        <w:tc>
          <w:tcPr>
            <w:tcW w:w="1028" w:type="dxa"/>
          </w:tcPr>
          <w:p>
            <w:pPr/>
            <w:r>
              <w:t xml:space="preserve">10,47</w:t>
            </w:r>
          </w:p>
        </w:tc>
        <w:tc>
          <w:tcPr>
            <w:tcW w:w="1028" w:type="dxa"/>
          </w:tcPr>
          <w:p>
            <w:pPr/>
            <w:r>
              <w:t xml:space="preserve">10,68</w:t>
            </w:r>
          </w:p>
        </w:tc>
      </w:tr>
      <w:tr>
        <w:tc>
          <w:tcPr>
            <w:tcW w:w="4219" w:type="dxa"/>
          </w:tcPr>
          <w:p>
            <w:pPr/>
            <w:r>
              <w:t xml:space="preserve">Opex recurrente de la IA</w:t>
            </w:r>
          </w:p>
        </w:tc>
        <w:tc>
          <w:tcPr>
            <w:tcW w:w="1028" w:type="dxa"/>
          </w:tcPr>
          <w:p>
            <w:pPr/>
            <w:r>
              <w:t xml:space="preserve">−0,80</w:t>
            </w:r>
          </w:p>
        </w:tc>
        <w:tc>
          <w:tcPr>
            <w:tcW w:w="1028" w:type="dxa"/>
          </w:tcPr>
          <w:p>
            <w:pPr/>
            <w:r>
              <w:t xml:space="preserve">−1,30</w:t>
            </w:r>
          </w:p>
        </w:tc>
        <w:tc>
          <w:tcPr>
            <w:tcW w:w="1028" w:type="dxa"/>
          </w:tcPr>
          <w:p>
            <w:pPr/>
            <w:r>
              <w:t xml:space="preserve">−1,36</w:t>
            </w:r>
          </w:p>
        </w:tc>
        <w:tc>
          <w:tcPr>
            <w:tcW w:w="1028" w:type="dxa"/>
          </w:tcPr>
          <w:p>
            <w:pPr/>
            <w:r>
              <w:t xml:space="preserve">−1,37</w:t>
            </w:r>
          </w:p>
        </w:tc>
        <w:tc>
          <w:tcPr>
            <w:tcW w:w="1028" w:type="dxa"/>
          </w:tcPr>
          <w:p>
            <w:pPr/>
            <w:r>
              <w:t xml:space="preserve">−1,48</w:t>
            </w:r>
          </w:p>
        </w:tc>
      </w:tr>
      <w:tr>
        <w:tc>
          <w:tcPr>
            <w:tcW w:w="4219" w:type="dxa"/>
          </w:tcPr>
          <w:p>
            <w:pPr/>
            <w:r>
              <w:t xml:space="preserve">Inversión única</w:t>
            </w:r>
          </w:p>
        </w:tc>
        <w:tc>
          <w:tcPr>
            <w:tcW w:w="1028" w:type="dxa"/>
          </w:tcPr>
          <w:p>
            <w:pPr/>
            <w:r>
              <w:t xml:space="preserve">−5,40</w:t>
            </w:r>
          </w:p>
        </w:tc>
        <w:tc>
          <w:tcPr>
            <w:tcW w:w="1028" w:type="dxa"/>
          </w:tcPr>
          <w:p>
            <w:pPr/>
            <w:r>
              <w:t xml:space="preserve">—</w:t>
            </w:r>
          </w:p>
        </w:tc>
        <w:tc>
          <w:tcPr>
            <w:tcW w:w="1028" w:type="dxa"/>
          </w:tcPr>
          <w:p>
            <w:pPr/>
            <w:r>
              <w:t xml:space="preserve">—</w:t>
            </w:r>
          </w:p>
        </w:tc>
        <w:tc>
          <w:tcPr>
            <w:tcW w:w="1028" w:type="dxa"/>
          </w:tcPr>
          <w:p>
            <w:pPr/>
            <w:r>
              <w:t xml:space="preserve">—</w:t>
            </w:r>
          </w:p>
        </w:tc>
        <w:tc>
          <w:tcPr>
            <w:tcW w:w="1028" w:type="dxa"/>
          </w:tcPr>
          <w:p>
            <w:pPr/>
            <w:r>
              <w:t xml:space="preserve">—</w:t>
            </w:r>
          </w:p>
        </w:tc>
      </w:tr>
      <w:tr>
        <w:tc>
          <w:tcPr>
            <w:tcW w:w="4219" w:type="dxa"/>
          </w:tcPr>
          <w:p>
            <w:pPr/>
            <w:r>
              <w:t xml:space="preserve">Reinversión (modelos y equipos)</w:t>
            </w:r>
          </w:p>
        </w:tc>
        <w:tc>
          <w:tcPr>
            <w:tcW w:w="1028" w:type="dxa"/>
          </w:tcPr>
          <w:p>
            <w:pPr/>
            <w:r>
              <w:t xml:space="preserve">—</w:t>
            </w:r>
          </w:p>
        </w:tc>
        <w:tc>
          <w:tcPr>
            <w:tcW w:w="1028" w:type="dxa"/>
          </w:tcPr>
          <w:p>
            <w:pPr/>
            <w:r>
              <w:t xml:space="preserve">—</w:t>
            </w:r>
          </w:p>
        </w:tc>
        <w:tc>
          <w:tcPr>
            <w:tcW w:w="1028" w:type="dxa"/>
          </w:tcPr>
          <w:p>
            <w:pPr/>
            <w:r>
              <w:t xml:space="preserve">−0,30</w:t>
            </w:r>
          </w:p>
        </w:tc>
        <w:tc>
          <w:tcPr>
            <w:tcW w:w="1028" w:type="dxa"/>
          </w:tcPr>
          <w:p>
            <w:pPr/>
            <w:r>
              <w:t xml:space="preserve">−0,30</w:t>
            </w:r>
          </w:p>
        </w:tc>
        <w:tc>
          <w:tcPr>
            <w:tcW w:w="1028" w:type="dxa"/>
          </w:tcPr>
          <w:p>
            <w:pPr/>
            <w:r>
              <w:t xml:space="preserve">−0,10</w:t>
            </w:r>
          </w:p>
        </w:tc>
      </w:tr>
      <w:tr>
        <w:tc>
          <w:tcPr>
            <w:tcW w:w="4219" w:type="dxa"/>
          </w:tcPr>
          <w:p>
            <w:pPr/>
            <w:r>
              <w:rPr>
                <w:b/>
              </w:rPr>
              <w:t xml:space="preserve">Flujo antes de impuestos</w:t>
            </w:r>
          </w:p>
        </w:tc>
        <w:tc>
          <w:tcPr>
            <w:tcW w:w="1028" w:type="dxa"/>
          </w:tcPr>
          <w:p>
            <w:pPr/>
            <w:r>
              <w:rPr>
                <w:b/>
              </w:rPr>
              <w:t xml:space="preserve">−1,80</w:t>
            </w:r>
          </w:p>
        </w:tc>
        <w:tc>
          <w:tcPr>
            <w:tcW w:w="1028" w:type="dxa"/>
          </w:tcPr>
          <w:p>
            <w:pPr/>
            <w:r>
              <w:rPr>
                <w:b/>
              </w:rPr>
              <w:t xml:space="preserve">8,76</w:t>
            </w:r>
          </w:p>
        </w:tc>
        <w:tc>
          <w:tcPr>
            <w:tcW w:w="1028" w:type="dxa"/>
          </w:tcPr>
          <w:p>
            <w:pPr/>
            <w:r>
              <w:rPr>
                <w:b/>
              </w:rPr>
              <w:t xml:space="preserve">8,60</w:t>
            </w:r>
          </w:p>
        </w:tc>
        <w:tc>
          <w:tcPr>
            <w:tcW w:w="1028" w:type="dxa"/>
          </w:tcPr>
          <w:p>
            <w:pPr/>
            <w:r>
              <w:rPr>
                <w:b/>
              </w:rPr>
              <w:t xml:space="preserve">8,80</w:t>
            </w:r>
          </w:p>
        </w:tc>
        <w:tc>
          <w:tcPr>
            <w:tcW w:w="1028" w:type="dxa"/>
          </w:tcPr>
          <w:p>
            <w:pPr/>
            <w:r>
              <w:rPr>
                <w:b/>
              </w:rPr>
              <w:t xml:space="preserve">9,10</w:t>
            </w:r>
          </w:p>
        </w:tc>
      </w:tr>
      <w:tr>
        <w:tc>
          <w:tcPr>
            <w:tcW w:w="4219" w:type="dxa"/>
          </w:tcPr>
          <w:p>
            <w:pPr/>
            <w:r>
              <w:t xml:space="preserve">Acumulado</w:t>
            </w:r>
          </w:p>
        </w:tc>
        <w:tc>
          <w:tcPr>
            <w:tcW w:w="1028" w:type="dxa"/>
          </w:tcPr>
          <w:p>
            <w:pPr/>
            <w:r>
              <w:t xml:space="preserve">−1,80</w:t>
            </w:r>
          </w:p>
        </w:tc>
        <w:tc>
          <w:tcPr>
            <w:tcW w:w="1028" w:type="dxa"/>
          </w:tcPr>
          <w:p>
            <w:pPr/>
            <w:r>
              <w:t xml:space="preserve">6,96</w:t>
            </w:r>
          </w:p>
        </w:tc>
        <w:tc>
          <w:tcPr>
            <w:tcW w:w="1028" w:type="dxa"/>
          </w:tcPr>
          <w:p>
            <w:pPr/>
            <w:r>
              <w:t xml:space="preserve">15,56</w:t>
            </w:r>
          </w:p>
        </w:tc>
        <w:tc>
          <w:tcPr>
            <w:tcW w:w="1028" w:type="dxa"/>
          </w:tcPr>
          <w:p>
            <w:pPr/>
            <w:r>
              <w:t xml:space="preserve">24,36</w:t>
            </w:r>
          </w:p>
        </w:tc>
        <w:tc>
          <w:tcPr>
            <w:tcW w:w="1028" w:type="dxa"/>
          </w:tcPr>
          <w:p>
            <w:pPr/>
            <w:r>
              <w:t xml:space="preserve">33,46</w:t>
            </w:r>
          </w:p>
        </w:tc>
      </w:tr>
    </w:tbl>
    <w:p>
      <w:pPr/>
      <w:r>
        <w:t xml:space="preserve">Beneficio 2027 por trimestre: 0,1 · 0,6 · 1,5 · 2,2. El bruto crece 2% anual con la base de abonados.</w:t>
      </w:r>
    </w:p>
    <w:tbl>
      <w:tblPr>
        <w:tblStyle w:val="TableGrid"/>
        <w:tblW w:w="0" w:type="auto"/>
        <w:tblLayout w:type="fixed"/>
        <w:tblLook w:val="04A0" w:firstRow="1" w:lastRow="0" w:firstColumn="0" w:lastColumn="0" w:noHBand="0" w:noVBand="1"/>
      </w:tblPr>
      <w:tblGrid>
        <w:gridCol w:w="3951"/>
        <w:gridCol w:w="2697"/>
        <w:gridCol w:w="2711"/>
      </w:tblGrid>
      <w:tr>
        <w:trPr>
          <w:tblHeader/>
        </w:trPr>
        <w:tc>
          <w:tcPr>
            <w:tcW w:w="3951" w:type="dxa"/>
            <w:shd w:val="clear" w:color="auto" w:fill="F2F2F2"/>
          </w:tcPr>
          <w:p>
            <w:pPr/>
            <w:r>
              <w:t xml:space="preserve">Indicador</w:t>
            </w:r>
          </w:p>
        </w:tc>
        <w:tc>
          <w:tcPr>
            <w:tcW w:w="2697" w:type="dxa"/>
            <w:shd w:val="clear" w:color="auto" w:fill="F2F2F2"/>
          </w:tcPr>
          <w:p>
            <w:pPr/>
            <w:r>
              <w:t xml:space="preserve">Antes de impuestos</w:t>
            </w:r>
          </w:p>
        </w:tc>
        <w:tc>
          <w:tcPr>
            <w:tcW w:w="2711" w:type="dxa"/>
            <w:shd w:val="clear" w:color="auto" w:fill="F2F2F2"/>
          </w:tcPr>
          <w:p>
            <w:pPr/>
            <w:r>
              <w:t xml:space="preserve">Después de impuestos</w:t>
            </w:r>
          </w:p>
        </w:tc>
      </w:tr>
      <w:tr>
        <w:tc>
          <w:tcPr>
            <w:tcW w:w="3951" w:type="dxa"/>
          </w:tcPr>
          <w:p>
            <w:pPr/>
            <w:r>
              <w:t xml:space="preserve">VAN 5 años (WACC 16% en USD)</w:t>
            </w:r>
          </w:p>
        </w:tc>
        <w:tc>
          <w:tcPr>
            <w:tcW w:w="2697" w:type="dxa"/>
          </w:tcPr>
          <w:p>
            <w:pPr/>
            <w:r>
              <w:t xml:space="preserve">USD 21,0 M</w:t>
            </w:r>
          </w:p>
        </w:tc>
        <w:tc>
          <w:tcPr>
            <w:tcW w:w="2711" w:type="dxa"/>
          </w:tcPr>
          <w:p>
            <w:pPr/>
            <w:r>
              <w:t xml:space="preserve">USD 13,4 M</w:t>
            </w:r>
          </w:p>
        </w:tc>
      </w:tr>
      <w:tr>
        <w:tc>
          <w:tcPr>
            <w:tcW w:w="3951" w:type="dxa"/>
          </w:tcPr>
          <w:p>
            <w:pPr/>
            <w:r>
              <w:t xml:space="preserve">TIR</w:t>
            </w:r>
          </w:p>
        </w:tc>
        <w:tc>
          <w:tcPr>
            <w:tcW w:w="2697" w:type="dxa"/>
          </w:tcPr>
          <w:p>
            <w:pPr/>
            <w:r>
              <w:t xml:space="preserve">276%</w:t>
            </w:r>
          </w:p>
        </w:tc>
        <w:tc>
          <w:tcPr>
            <w:tcW w:w="2711" w:type="dxa"/>
          </w:tcPr>
          <w:p>
            <w:pPr/>
            <w:r>
              <w:t xml:space="preserve">175%</w:t>
            </w:r>
          </w:p>
        </w:tc>
      </w:tr>
      <w:tr>
        <w:tc>
          <w:tcPr>
            <w:tcW w:w="3951" w:type="dxa"/>
          </w:tcPr>
          <w:p>
            <w:pPr/>
            <w:r>
              <w:t xml:space="preserve">Payback</w:t>
            </w:r>
          </w:p>
        </w:tc>
        <w:tc>
          <w:tcPr>
            <w:tcW w:w="2697" w:type="dxa"/>
          </w:tcPr>
          <w:p>
            <w:pPr/>
            <w:r>
              <w:t xml:space="preserve">Q1 2028 (mes 13 a 15)</w:t>
            </w:r>
          </w:p>
        </w:tc>
        <w:tc>
          <w:tcPr>
            <w:tcW w:w="2711" w:type="dxa"/>
          </w:tcPr>
          <w:p>
            <w:pPr/>
            <w:r>
              <w:t xml:space="preserve">Q1 2028</w:t>
            </w:r>
          </w:p>
        </w:tc>
      </w:tr>
      <w:tr>
        <w:tc>
          <w:tcPr>
            <w:tcW w:w="3951" w:type="dxa"/>
          </w:tcPr>
          <w:p>
            <w:pPr/>
            <w:r>
              <w:t xml:space="preserve">Neto a 24 meses</w:t>
            </w:r>
          </w:p>
        </w:tc>
        <w:tc>
          <w:tcPr>
            <w:tcW w:w="2697" w:type="dxa"/>
          </w:tcPr>
          <w:p>
            <w:pPr/>
            <w:r>
              <w:t xml:space="preserve">USD +7,0 M</w:t>
            </w:r>
          </w:p>
        </w:tc>
        <w:tc>
          <w:tcPr>
            <w:tcW w:w="2711" w:type="dxa"/>
          </w:tcPr>
          <w:p>
            <w:pPr/>
          </w:p>
        </w:tc>
      </w:tr>
    </w:tbl>
    <w:p>
      <w:pPr/>
      <w:r>
        <w:t xml:space="preserve">La TIR es alta porque USD 5,4 M atacan USD 57 M de gasto anual; el número a defender es el VAN.</w:t>
      </w:r>
    </w:p>
    <w:p>
      <w:pPr>
        <w:pStyle w:val="Heading3"/>
      </w:pPr>
      <w:r>
        <w:t xml:space="preserve">Supuestos</w:t>
      </w:r>
    </w:p>
    <w:p>
      <w:pPr>
        <w:pStyle w:val="ListParagraph"/>
        <w:numPr>
          <w:ilvl w:val="0"/>
          <w:numId w:val="5"/>
        </w:numPr>
      </w:pPr>
      <w:r>
        <w:rPr>
          <w:b/>
        </w:rPr>
        <w:t xml:space="preserve">Moneda y tasa:</w:t>
      </w:r>
      <w:r>
        <w:t xml:space="preserve"> USD constantes; WACC 16% en dólares, que incluye riesgo país.</w:t>
      </w:r>
    </w:p>
    <w:p>
      <w:pPr>
        <w:pStyle w:val="ListParagraph"/>
        <w:numPr>
          <w:ilvl w:val="0"/>
          <w:numId w:val="5"/>
        </w:numPr>
      </w:pPr>
      <w:r>
        <w:rPr>
          <w:b/>
        </w:rPr>
        <w:t xml:space="preserve">Impuestos:</w:t>
      </w:r>
      <w:r>
        <w:t xml:space="preserve"> ganancias 35%; inversión amortizada en 3 años; quebranto del año 1 trasladable.</w:t>
      </w:r>
    </w:p>
    <w:p>
      <w:pPr>
        <w:pStyle w:val="ListParagraph"/>
        <w:numPr>
          <w:ilvl w:val="0"/>
          <w:numId w:val="5"/>
        </w:numPr>
      </w:pPr>
      <w:r>
        <w:rPr>
          <w:b/>
        </w:rPr>
        <w:t xml:space="preserve">Costo por visita:</w:t>
      </w:r>
      <w:r>
        <w:t xml:space="preserve"> USD 32, igual propia o tercerizada; sin ajuste por inflación en USD.</w:t>
      </w:r>
    </w:p>
    <w:p>
      <w:pPr>
        <w:pStyle w:val="ListParagraph"/>
        <w:numPr>
          <w:ilvl w:val="0"/>
          <w:numId w:val="5"/>
        </w:numPr>
      </w:pPr>
      <w:r>
        <w:rPr>
          <w:b/>
        </w:rPr>
        <w:t xml:space="preserve">Abonados:</w:t>
      </w:r>
      <w:r>
        <w:t xml:space="preserve"> 1,6 M, crecimiento 2% anual.</w:t>
      </w:r>
    </w:p>
    <w:p>
      <w:pPr>
        <w:pStyle w:val="ListParagraph"/>
        <w:numPr>
          <w:ilvl w:val="0"/>
          <w:numId w:val="5"/>
        </w:numPr>
      </w:pPr>
      <w:r>
        <w:rPr>
          <w:b/>
        </w:rPr>
        <w:t xml:space="preserve">ARPU:</w:t>
      </w:r>
      <w:r>
        <w:t xml:space="preserve"> USD 22,0 por mes. Una reparación que falla a la primera cuesta USD 59 (revisita, contactos adicionales y bonificación) = 2,7 meses de ARPU.</w:t>
      </w:r>
    </w:p>
    <w:p>
      <w:pPr>
        <w:pStyle w:val="ListParagraph"/>
        <w:numPr>
          <w:ilvl w:val="0"/>
          <w:numId w:val="5"/>
        </w:numPr>
      </w:pPr>
      <w:r>
        <w:rPr>
          <w:b/>
        </w:rPr>
        <w:t xml:space="preserve">Flujos:</w:t>
      </w:r>
      <w:r>
        <w:t xml:space="preserve"> trimestrales en 2027 y anuales desde 2028, descontados a mitad de período.</w:t>
      </w:r>
    </w:p>
    <w:p>
      <w:pPr>
        <w:pStyle w:val="ListParagraph"/>
        <w:numPr>
          <w:ilvl w:val="0"/>
          <w:numId w:val="5"/>
        </w:numPr>
      </w:pPr>
      <w:r>
        <w:rPr>
          <w:b/>
        </w:rPr>
        <w:t xml:space="preserve">Personal propio:</w:t>
      </w:r>
      <w:r>
        <w:t xml:space="preserve"> sin despidos; la planta propia mantiene sus 7 visitas por día y lo que baja es el volumen de terceros. Dotación: 1.500 técnicos, de los cuales 1.000 hacen visitas a domicilio (400 propios y 600 de terceros) a 7 visitas por día durante 255 días hábiles, y 500 hacen red, mantenimiento y supervisión.</w:t>
      </w:r>
    </w:p>
    <w:p>
      <w:pPr>
        <w:pStyle w:val="Heading3"/>
      </w:pPr>
      <w:r>
        <w:t xml:space="preserve">Sensibilidad</w:t>
      </w:r>
    </w:p>
    <w:tbl>
      <w:tblPr>
        <w:tblStyle w:val="TableGrid"/>
        <w:tblW w:w="0" w:type="auto"/>
        <w:tblLayout w:type="fixed"/>
        <w:tblLook w:val="04A0" w:firstRow="1" w:lastRow="0" w:firstColumn="0" w:lastColumn="0" w:noHBand="0" w:noVBand="1"/>
      </w:tblPr>
      <w:tblGrid>
        <w:gridCol w:w="4920"/>
        <w:gridCol w:w="1540"/>
        <w:gridCol w:w="1365"/>
        <w:gridCol w:w="1535"/>
      </w:tblGrid>
      <w:tr>
        <w:trPr>
          <w:tblHeader/>
        </w:trPr>
        <w:tc>
          <w:tcPr>
            <w:tcW w:w="4920" w:type="dxa"/>
            <w:shd w:val="clear" w:color="auto" w:fill="F2F2F2"/>
          </w:tcPr>
          <w:p>
            <w:pPr/>
            <w:r>
              <w:t xml:space="preserve">Si cambia…</w:t>
            </w:r>
          </w:p>
        </w:tc>
        <w:tc>
          <w:tcPr>
            <w:tcW w:w="1540" w:type="dxa"/>
            <w:shd w:val="clear" w:color="auto" w:fill="F2F2F2"/>
          </w:tcPr>
          <w:p>
            <w:pPr/>
            <w:r>
              <w:t xml:space="preserve">Neto a régimen (USD M/año)</w:t>
            </w:r>
          </w:p>
        </w:tc>
        <w:tc>
          <w:tcPr>
            <w:tcW w:w="1365" w:type="dxa"/>
            <w:shd w:val="clear" w:color="auto" w:fill="F2F2F2"/>
          </w:tcPr>
          <w:p>
            <w:pPr/>
            <w:r>
              <w:t xml:space="preserve">Neto 24 meses (USD M)</w:t>
            </w:r>
          </w:p>
        </w:tc>
        <w:tc>
          <w:tcPr>
            <w:tcW w:w="1535" w:type="dxa"/>
            <w:shd w:val="clear" w:color="auto" w:fill="F2F2F2"/>
          </w:tcPr>
          <w:p>
            <w:pPr/>
            <w:r>
              <w:t xml:space="preserve">VAN 5 años (USD M)</w:t>
            </w:r>
          </w:p>
        </w:tc>
      </w:tr>
      <w:tr>
        <w:tc>
          <w:tcPr>
            <w:tcW w:w="4920" w:type="dxa"/>
          </w:tcPr>
          <w:p>
            <w:pPr/>
            <w:r>
              <w:t xml:space="preserve">Caso base</w:t>
            </w:r>
          </w:p>
        </w:tc>
        <w:tc>
          <w:tcPr>
            <w:tcW w:w="1540" w:type="dxa"/>
          </w:tcPr>
          <w:p>
            <w:pPr/>
            <w:r>
              <w:t xml:space="preserve">8,8</w:t>
            </w:r>
          </w:p>
        </w:tc>
        <w:tc>
          <w:tcPr>
            <w:tcW w:w="1365" w:type="dxa"/>
          </w:tcPr>
          <w:p>
            <w:pPr/>
            <w:r>
              <w:t xml:space="preserve">7,0</w:t>
            </w:r>
          </w:p>
        </w:tc>
        <w:tc>
          <w:tcPr>
            <w:tcW w:w="1535" w:type="dxa"/>
          </w:tcPr>
          <w:p>
            <w:pPr/>
            <w:r>
              <w:t xml:space="preserve">21,0</w:t>
            </w:r>
          </w:p>
        </w:tc>
      </w:tr>
      <w:tr>
        <w:tc>
          <w:tcPr>
            <w:tcW w:w="4920" w:type="dxa"/>
          </w:tcPr>
          <w:p>
            <w:pPr/>
            <w:r>
              <w:t xml:space="preserve">Triage resuelve 15% de las órdenes (no 10%)</w:t>
            </w:r>
          </w:p>
        </w:tc>
        <w:tc>
          <w:tcPr>
            <w:tcW w:w="1540" w:type="dxa"/>
          </w:tcPr>
          <w:p>
            <w:pPr/>
            <w:r>
              <w:t xml:space="preserve">10,5</w:t>
            </w:r>
          </w:p>
        </w:tc>
        <w:tc>
          <w:tcPr>
            <w:tcW w:w="1365" w:type="dxa"/>
          </w:tcPr>
          <w:p>
            <w:pPr/>
            <w:r>
              <w:t xml:space="preserve">9,5</w:t>
            </w:r>
          </w:p>
        </w:tc>
        <w:tc>
          <w:tcPr>
            <w:tcW w:w="1535" w:type="dxa"/>
          </w:tcPr>
          <w:p>
            <w:pPr/>
            <w:r>
              <w:t xml:space="preserve">26,5</w:t>
            </w:r>
          </w:p>
        </w:tc>
      </w:tr>
      <w:tr>
        <w:tc>
          <w:tcPr>
            <w:tcW w:w="4920" w:type="dxa"/>
          </w:tcPr>
          <w:p>
            <w:pPr/>
            <w:r>
              <w:t xml:space="preserve">Triage resuelve 5% de las órdenes</w:t>
            </w:r>
          </w:p>
        </w:tc>
        <w:tc>
          <w:tcPr>
            <w:tcW w:w="1540" w:type="dxa"/>
          </w:tcPr>
          <w:p>
            <w:pPr/>
            <w:r>
              <w:t xml:space="preserve">7,0</w:t>
            </w:r>
          </w:p>
        </w:tc>
        <w:tc>
          <w:tcPr>
            <w:tcW w:w="1365" w:type="dxa"/>
          </w:tcPr>
          <w:p>
            <w:pPr/>
            <w:r>
              <w:t xml:space="preserve">4,4</w:t>
            </w:r>
          </w:p>
        </w:tc>
        <w:tc>
          <w:tcPr>
            <w:tcW w:w="1535" w:type="dxa"/>
          </w:tcPr>
          <w:p>
            <w:pPr/>
            <w:r>
              <w:t xml:space="preserve">15,6</w:t>
            </w:r>
          </w:p>
        </w:tc>
      </w:tr>
      <w:tr>
        <w:tc>
          <w:tcPr>
            <w:tcW w:w="4920" w:type="dxa"/>
          </w:tcPr>
          <w:p>
            <w:pPr/>
            <w:r>
              <w:t xml:space="preserve">First-time fix llega a 78% (no 82%)</w:t>
            </w:r>
          </w:p>
        </w:tc>
        <w:tc>
          <w:tcPr>
            <w:tcW w:w="1540" w:type="dxa"/>
          </w:tcPr>
          <w:p>
            <w:pPr/>
            <w:r>
              <w:t xml:space="preserve">6,7</w:t>
            </w:r>
          </w:p>
        </w:tc>
        <w:tc>
          <w:tcPr>
            <w:tcW w:w="1365" w:type="dxa"/>
          </w:tcPr>
          <w:p>
            <w:pPr/>
            <w:r>
              <w:t xml:space="preserve">3,9</w:t>
            </w:r>
          </w:p>
        </w:tc>
        <w:tc>
          <w:tcPr>
            <w:tcW w:w="1535" w:type="dxa"/>
          </w:tcPr>
          <w:p>
            <w:pPr/>
            <w:r>
              <w:t xml:space="preserve">14,6</w:t>
            </w:r>
          </w:p>
        </w:tc>
      </w:tr>
      <w:tr>
        <w:tc>
          <w:tcPr>
            <w:tcW w:w="4920" w:type="dxa"/>
          </w:tcPr>
          <w:p>
            <w:pPr/>
            <w:r>
              <w:t xml:space="preserve">Visitas fallidas bajan a 6% (no 5%)</w:t>
            </w:r>
          </w:p>
        </w:tc>
        <w:tc>
          <w:tcPr>
            <w:tcW w:w="1540" w:type="dxa"/>
          </w:tcPr>
          <w:p>
            <w:pPr/>
            <w:r>
              <w:t xml:space="preserve">8,2</w:t>
            </w:r>
          </w:p>
        </w:tc>
        <w:tc>
          <w:tcPr>
            <w:tcW w:w="1365" w:type="dxa"/>
          </w:tcPr>
          <w:p>
            <w:pPr/>
            <w:r>
              <w:t xml:space="preserve">6,1</w:t>
            </w:r>
          </w:p>
        </w:tc>
        <w:tc>
          <w:tcPr>
            <w:tcW w:w="1535" w:type="dxa"/>
          </w:tcPr>
          <w:p>
            <w:pPr/>
            <w:r>
              <w:t xml:space="preserve">19,3</w:t>
            </w:r>
          </w:p>
        </w:tc>
      </w:tr>
      <w:tr>
        <w:tc>
          <w:tcPr>
            <w:tcW w:w="4920" w:type="dxa"/>
          </w:tcPr>
          <w:p>
            <w:pPr/>
            <w:r>
              <w:t xml:space="preserve">Costo por visita USD 28 (no 32)</w:t>
            </w:r>
          </w:p>
        </w:tc>
        <w:tc>
          <w:tcPr>
            <w:tcW w:w="1540" w:type="dxa"/>
          </w:tcPr>
          <w:p>
            <w:pPr/>
            <w:r>
              <w:t xml:space="preserve">7,5</w:t>
            </w:r>
          </w:p>
        </w:tc>
        <w:tc>
          <w:tcPr>
            <w:tcW w:w="1365" w:type="dxa"/>
          </w:tcPr>
          <w:p>
            <w:pPr/>
            <w:r>
              <w:t xml:space="preserve">5,2</w:t>
            </w:r>
          </w:p>
        </w:tc>
        <w:tc>
          <w:tcPr>
            <w:tcW w:w="1535" w:type="dxa"/>
          </w:tcPr>
          <w:p>
            <w:pPr/>
            <w:r>
              <w:t xml:space="preserve">17,2</w:t>
            </w:r>
          </w:p>
        </w:tc>
      </w:tr>
      <w:tr>
        <w:tc>
          <w:tcPr>
            <w:tcW w:w="4920" w:type="dxa"/>
          </w:tcPr>
          <w:p>
            <w:pPr/>
            <w:r>
              <w:t xml:space="preserve">WACC 20%</w:t>
            </w:r>
          </w:p>
        </w:tc>
        <w:tc>
          <w:tcPr>
            <w:tcW w:w="1540" w:type="dxa"/>
          </w:tcPr>
          <w:p>
            <w:pPr/>
            <w:r>
              <w:t xml:space="preserve">8,8</w:t>
            </w:r>
          </w:p>
        </w:tc>
        <w:tc>
          <w:tcPr>
            <w:tcW w:w="1365" w:type="dxa"/>
          </w:tcPr>
          <w:p>
            <w:pPr/>
            <w:r>
              <w:t xml:space="preserve">7,0</w:t>
            </w:r>
          </w:p>
        </w:tc>
        <w:tc>
          <w:tcPr>
            <w:tcW w:w="1535" w:type="dxa"/>
          </w:tcPr>
          <w:p>
            <w:pPr/>
            <w:r>
              <w:t xml:space="preserve">19,0</w:t>
            </w:r>
          </w:p>
        </w:tc>
      </w:tr>
      <w:tr>
        <w:tc>
          <w:tcPr>
            <w:tcW w:w="4920" w:type="dxa"/>
          </w:tcPr>
          <w:p>
            <w:pPr/>
            <w:r>
              <w:t xml:space="preserve">Inversión y reinversión +30%</w:t>
            </w:r>
          </w:p>
        </w:tc>
        <w:tc>
          <w:tcPr>
            <w:tcW w:w="1540" w:type="dxa"/>
          </w:tcPr>
          <w:p>
            <w:pPr/>
            <w:r>
              <w:t xml:space="preserve">8,8</w:t>
            </w:r>
          </w:p>
        </w:tc>
        <w:tc>
          <w:tcPr>
            <w:tcW w:w="1365" w:type="dxa"/>
          </w:tcPr>
          <w:p>
            <w:pPr/>
            <w:r>
              <w:t xml:space="preserve">—</w:t>
            </w:r>
          </w:p>
        </w:tc>
        <w:tc>
          <w:tcPr>
            <w:tcW w:w="1535" w:type="dxa"/>
          </w:tcPr>
          <w:p>
            <w:pPr/>
            <w:r>
              <w:t xml:space="preserve">19,4</w:t>
            </w:r>
          </w:p>
        </w:tc>
      </w:tr>
    </w:tbl>
    <w:p>
      <w:pPr/>
      <w:r>
        <w:t xml:space="preserve">Las dos variables que mueven el caso son el first-time fix y el triage: por eso el gate de Q2 mide triage y adopción del copiloto, y el gate de Q3, first-time fix.</w:t>
      </w:r>
    </w:p>
    <w:p>
      <w:pPr>
        <w:pStyle w:val="Heading3"/>
      </w:pPr>
      <w:r>
        <w:t xml:space="preserve">Estimación trimestral incremental y medición del ROI</w:t>
      </w:r>
    </w:p>
    <w:p>
      <w:pPr/>
      <w:r>
        <w:t xml:space="preserve">Cada visita que la IA evita es una visita menos facturada por terceros. La planta propia hace siempre sus 7 visitas por día. A régimen dejan de hacer falta 175 técnicos de terceros equivalentes (de 600 a 425), la factura de terceros baja 29% y el retorno acumulado es positivo desde Q1 2028.</w:t>
      </w:r>
    </w:p>
    <w:p>
      <w:pPr>
        <w:pStyle w:val="Heading4"/>
      </w:pPr>
      <w:r>
        <w:t xml:space="preserve">Dotación y línea base</w:t>
      </w:r>
    </w:p>
    <w:tbl>
      <w:tblPr>
        <w:tblStyle w:val="TableGrid"/>
        <w:tblW w:w="0" w:type="auto"/>
        <w:tblLayout w:type="fixed"/>
        <w:tblLook w:val="04A0" w:firstRow="1" w:lastRow="0" w:firstColumn="0" w:lastColumn="0" w:noHBand="0" w:noVBand="1"/>
      </w:tblPr>
      <w:tblGrid>
        <w:gridCol w:w="1837"/>
        <w:gridCol w:w="1199"/>
        <w:gridCol w:w="1833"/>
        <w:gridCol w:w="4490"/>
      </w:tblGrid>
      <w:tr>
        <w:trPr>
          <w:tblHeader/>
        </w:trPr>
        <w:tc>
          <w:tcPr>
            <w:tcW w:w="1837" w:type="dxa"/>
            <w:shd w:val="clear" w:color="auto" w:fill="F2F2F2"/>
          </w:tcPr>
          <w:p>
            <w:pPr/>
            <w:r>
              <w:t xml:space="preserve">Dotación</w:t>
            </w:r>
          </w:p>
        </w:tc>
        <w:tc>
          <w:tcPr>
            <w:tcW w:w="1199" w:type="dxa"/>
            <w:shd w:val="clear" w:color="auto" w:fill="F2F2F2"/>
          </w:tcPr>
          <w:p>
            <w:pPr/>
            <w:r>
              <w:t xml:space="preserve">Técnicos</w:t>
            </w:r>
          </w:p>
        </w:tc>
        <w:tc>
          <w:tcPr>
            <w:tcW w:w="1833" w:type="dxa"/>
            <w:shd w:val="clear" w:color="auto" w:fill="F2F2F2"/>
          </w:tcPr>
          <w:p>
            <w:pPr/>
            <w:r>
              <w:t xml:space="preserve">Visitas por año</w:t>
            </w:r>
          </w:p>
        </w:tc>
        <w:tc>
          <w:tcPr>
            <w:tcW w:w="4490" w:type="dxa"/>
            <w:shd w:val="clear" w:color="auto" w:fill="F2F2F2"/>
          </w:tcPr>
          <w:p>
            <w:pPr/>
            <w:r>
              <w:t xml:space="preserve">Rol en el plan</w:t>
            </w:r>
          </w:p>
        </w:tc>
      </w:tr>
      <w:tr>
        <w:tc>
          <w:tcPr>
            <w:tcW w:w="1837" w:type="dxa"/>
          </w:tcPr>
          <w:p>
            <w:pPr/>
            <w:r>
              <w:t xml:space="preserve">Domicilio, planta propia</w:t>
            </w:r>
          </w:p>
        </w:tc>
        <w:tc>
          <w:tcPr>
            <w:tcW w:w="1199" w:type="dxa"/>
          </w:tcPr>
          <w:p>
            <w:pPr/>
            <w:r>
              <w:t xml:space="preserve">400</w:t>
            </w:r>
          </w:p>
        </w:tc>
        <w:tc>
          <w:tcPr>
            <w:tcW w:w="1833" w:type="dxa"/>
          </w:tcPr>
          <w:p>
            <w:pPr/>
            <w:r>
              <w:t xml:space="preserve">714.000</w:t>
            </w:r>
          </w:p>
        </w:tc>
        <w:tc>
          <w:tcPr>
            <w:tcW w:w="4490" w:type="dxa"/>
          </w:tcPr>
          <w:p>
            <w:pPr/>
            <w:r>
              <w:t xml:space="preserve">Capacidad fija: 7 visitas/día × 255 días; sin despidos</w:t>
            </w:r>
          </w:p>
        </w:tc>
      </w:tr>
      <w:tr>
        <w:tc>
          <w:tcPr>
            <w:tcW w:w="1837" w:type="dxa"/>
          </w:tcPr>
          <w:p>
            <w:pPr/>
            <w:r>
              <w:t xml:space="preserve">Domicilio, terceros</w:t>
            </w:r>
          </w:p>
        </w:tc>
        <w:tc>
          <w:tcPr>
            <w:tcW w:w="1199" w:type="dxa"/>
          </w:tcPr>
          <w:p>
            <w:pPr/>
            <w:r>
              <w:t xml:space="preserve">600</w:t>
            </w:r>
          </w:p>
        </w:tc>
        <w:tc>
          <w:tcPr>
            <w:tcW w:w="1833" w:type="dxa"/>
          </w:tcPr>
          <w:p>
            <w:pPr/>
            <w:r>
              <w:t xml:space="preserve">1.070.000</w:t>
            </w:r>
          </w:p>
        </w:tc>
        <w:tc>
          <w:tcPr>
            <w:tcW w:w="4490" w:type="dxa"/>
          </w:tcPr>
          <w:p>
            <w:pPr/>
            <w:r>
              <w:t xml:space="preserve">Volumen variable: acá cae todo el ahorro</w:t>
            </w:r>
          </w:p>
        </w:tc>
      </w:tr>
      <w:tr>
        <w:tc>
          <w:tcPr>
            <w:tcW w:w="1837" w:type="dxa"/>
          </w:tcPr>
          <w:p>
            <w:pPr/>
            <w:r>
              <w:t xml:space="preserve">Red, mantenimiento y supervisión</w:t>
            </w:r>
          </w:p>
        </w:tc>
        <w:tc>
          <w:tcPr>
            <w:tcW w:w="1199" w:type="dxa"/>
          </w:tcPr>
          <w:p>
            <w:pPr/>
            <w:r>
              <w:t xml:space="preserve">500</w:t>
            </w:r>
          </w:p>
        </w:tc>
        <w:tc>
          <w:tcPr>
            <w:tcW w:w="1833" w:type="dxa"/>
          </w:tcPr>
          <w:p>
            <w:pPr/>
            <w:r>
              <w:t xml:space="preserve">—</w:t>
            </w:r>
          </w:p>
        </w:tc>
        <w:tc>
          <w:tcPr>
            <w:tcW w:w="4490" w:type="dxa"/>
          </w:tcPr>
          <w:p>
            <w:pPr/>
            <w:r>
              <w:t xml:space="preserve">Fuera del alcance; de acá salen los curadores, para no restar visitas propias</w:t>
            </w:r>
          </w:p>
        </w:tc>
      </w:tr>
      <w:tr>
        <w:tc>
          <w:tcPr>
            <w:tcW w:w="1837" w:type="dxa"/>
          </w:tcPr>
          <w:p>
            <w:pPr/>
            <w:r>
              <w:rPr>
                <w:b/>
              </w:rPr>
              <w:t xml:space="preserve">Total</w:t>
            </w:r>
          </w:p>
        </w:tc>
        <w:tc>
          <w:tcPr>
            <w:tcW w:w="1199" w:type="dxa"/>
          </w:tcPr>
          <w:p>
            <w:pPr/>
            <w:r>
              <w:rPr>
                <w:b/>
              </w:rPr>
              <w:t xml:space="preserve">1.500</w:t>
            </w:r>
          </w:p>
        </w:tc>
        <w:tc>
          <w:tcPr>
            <w:tcW w:w="1833" w:type="dxa"/>
          </w:tcPr>
          <w:p>
            <w:pPr/>
            <w:r>
              <w:rPr>
                <w:b/>
              </w:rPr>
              <w:t xml:space="preserve">1.784.000</w:t>
            </w:r>
          </w:p>
        </w:tc>
        <w:tc>
          <w:tcPr>
            <w:tcW w:w="4490" w:type="dxa"/>
          </w:tcPr>
          <w:p>
            <w:pPr/>
            <w:r>
              <w:t xml:space="preserve">1.000 técnicos de domicilio × 7 × 255 = 1,78 M de visitas</w:t>
            </w:r>
          </w:p>
        </w:tc>
      </w:tr>
    </w:tbl>
    <w:p>
      <w:pPr/>
      <w:r>
        <w:t xml:space="preserve">Línea base por trimestre, congelada en diciembre 2026: 446.000 visitas, 267.500 de terceros (USD 8,56 M facturados), 148 visitas cada 100 órdenes resueltas, 4,73 órdenes resueltas por técnico y día, y métrica norte de USD 47,3.</w:t>
      </w:r>
    </w:p>
    <w:p>
      <w:pPr/>
      <w:r>
        <w:t xml:space="preserve">La regla de despacho garantiza el mecanismo: las órdenes se asignan primero a la planta propia hasta completar sus 7 visitas diarias, y los terceros toman solo el excedente.</w:t>
      </w:r>
    </w:p>
    <w:p>
      <w:pPr>
        <w:pStyle w:val="Heading4"/>
      </w:pPr>
      <w:r>
        <w:t xml:space="preserve">Trimestre a trimestre contra la línea base</w:t>
      </w:r>
    </w:p>
    <w:p>
      <w:pPr/>
      <w:r>
        <w:t xml:space="preserve">Cada columna se compara con la línea base. Desde Q1 2028 los valores se repiten cada trimestre, a régimen.</w:t>
      </w:r>
    </w:p>
    <w:tbl>
      <w:tblPr>
        <w:tblStyle w:val="TableGrid"/>
        <w:tblW w:w="0" w:type="auto"/>
        <w:tblLayout w:type="fixed"/>
        <w:tblLook w:val="04A0" w:firstRow="1" w:lastRow="0" w:firstColumn="0" w:lastColumn="0" w:noHBand="0" w:noVBand="1"/>
      </w:tblPr>
      <w:tblGrid>
        <w:gridCol w:w="3035"/>
        <w:gridCol w:w="1028"/>
        <w:gridCol w:w="1067"/>
        <w:gridCol w:w="1067"/>
        <w:gridCol w:w="1067"/>
        <w:gridCol w:w="1067"/>
        <w:gridCol w:w="1028"/>
      </w:tblGrid>
      <w:tr>
        <w:trPr>
          <w:tblHeader/>
        </w:trPr>
        <w:tc>
          <w:tcPr>
            <w:tcW w:w="3035" w:type="dxa"/>
            <w:shd w:val="clear" w:color="auto" w:fill="F2F2F2"/>
          </w:tcPr>
          <w:p>
            <w:pPr/>
            <w:r>
              <w:t xml:space="preserve">Indicador</w:t>
            </w:r>
          </w:p>
        </w:tc>
        <w:tc>
          <w:tcPr>
            <w:tcW w:w="1028" w:type="dxa"/>
            <w:shd w:val="clear" w:color="auto" w:fill="F2F2F2"/>
          </w:tcPr>
          <w:p>
            <w:pPr/>
            <w:r>
              <w:t xml:space="preserve">Línea base</w:t>
            </w:r>
          </w:p>
        </w:tc>
        <w:tc>
          <w:tcPr>
            <w:tcW w:w="1067" w:type="dxa"/>
            <w:shd w:val="clear" w:color="auto" w:fill="F2F2F2"/>
          </w:tcPr>
          <w:p>
            <w:pPr/>
            <w:r>
              <w:t xml:space="preserve">Q1 2027</w:t>
            </w:r>
          </w:p>
        </w:tc>
        <w:tc>
          <w:tcPr>
            <w:tcW w:w="1067" w:type="dxa"/>
            <w:shd w:val="clear" w:color="auto" w:fill="F2F2F2"/>
          </w:tcPr>
          <w:p>
            <w:pPr/>
            <w:r>
              <w:t xml:space="preserve">Q2 2027</w:t>
            </w:r>
          </w:p>
        </w:tc>
        <w:tc>
          <w:tcPr>
            <w:tcW w:w="1067" w:type="dxa"/>
            <w:shd w:val="clear" w:color="auto" w:fill="F2F2F2"/>
          </w:tcPr>
          <w:p>
            <w:pPr/>
            <w:r>
              <w:t xml:space="preserve">Q3 2027</w:t>
            </w:r>
          </w:p>
        </w:tc>
        <w:tc>
          <w:tcPr>
            <w:tcW w:w="1067" w:type="dxa"/>
            <w:shd w:val="clear" w:color="auto" w:fill="F2F2F2"/>
          </w:tcPr>
          <w:p>
            <w:pPr/>
            <w:r>
              <w:t xml:space="preserve">Q4 2027</w:t>
            </w:r>
          </w:p>
        </w:tc>
        <w:tc>
          <w:tcPr>
            <w:tcW w:w="1028" w:type="dxa"/>
            <w:shd w:val="clear" w:color="auto" w:fill="F2F2F2"/>
          </w:tcPr>
          <w:p>
            <w:pPr/>
            <w:r>
              <w:t xml:space="preserve">Cada Q de 2028</w:t>
            </w:r>
          </w:p>
        </w:tc>
      </w:tr>
      <w:tr>
        <w:tc>
          <w:tcPr>
            <w:tcW w:w="3035" w:type="dxa"/>
          </w:tcPr>
          <w:p>
            <w:pPr/>
            <w:r>
              <w:rPr>
                <w:b/>
              </w:rPr>
              <w:t xml:space="preserve">Operativo</w:t>
            </w:r>
          </w:p>
        </w:tc>
        <w:tc>
          <w:tcPr>
            <w:tcW w:w="1028" w:type="dxa"/>
          </w:tcPr>
          <w:p>
            <w:pPr/>
          </w:p>
        </w:tc>
        <w:tc>
          <w:tcPr>
            <w:tcW w:w="1067" w:type="dxa"/>
          </w:tcPr>
          <w:p>
            <w:pPr/>
          </w:p>
        </w:tc>
        <w:tc>
          <w:tcPr>
            <w:tcW w:w="1067" w:type="dxa"/>
          </w:tcPr>
          <w:p>
            <w:pPr/>
          </w:p>
        </w:tc>
        <w:tc>
          <w:tcPr>
            <w:tcW w:w="1067" w:type="dxa"/>
          </w:tcPr>
          <w:p>
            <w:pPr/>
          </w:p>
        </w:tc>
        <w:tc>
          <w:tcPr>
            <w:tcW w:w="1067" w:type="dxa"/>
          </w:tcPr>
          <w:p>
            <w:pPr/>
          </w:p>
        </w:tc>
        <w:tc>
          <w:tcPr>
            <w:tcW w:w="1028" w:type="dxa"/>
          </w:tcPr>
          <w:p>
            <w:pPr/>
          </w:p>
        </w:tc>
      </w:tr>
      <w:tr>
        <w:tc>
          <w:tcPr>
            <w:tcW w:w="3035" w:type="dxa"/>
          </w:tcPr>
          <w:p>
            <w:pPr/>
            <w:r>
              <w:t xml:space="preserve">Visitas liberadas</w:t>
            </w:r>
          </w:p>
        </w:tc>
        <w:tc>
          <w:tcPr>
            <w:tcW w:w="1028" w:type="dxa"/>
          </w:tcPr>
          <w:p>
            <w:pPr/>
            <w:r>
              <w:t xml:space="preserve">—</w:t>
            </w:r>
          </w:p>
        </w:tc>
        <w:tc>
          <w:tcPr>
            <w:tcW w:w="1067" w:type="dxa"/>
          </w:tcPr>
          <w:p>
            <w:pPr/>
            <w:r>
              <w:t xml:space="preserve">3.100</w:t>
            </w:r>
          </w:p>
        </w:tc>
        <w:tc>
          <w:tcPr>
            <w:tcW w:w="1067" w:type="dxa"/>
          </w:tcPr>
          <w:p>
            <w:pPr/>
            <w:r>
              <w:t xml:space="preserve">18.600</w:t>
            </w:r>
          </w:p>
        </w:tc>
        <w:tc>
          <w:tcPr>
            <w:tcW w:w="1067" w:type="dxa"/>
          </w:tcPr>
          <w:p>
            <w:pPr/>
            <w:r>
              <w:t xml:space="preserve">46.600</w:t>
            </w:r>
          </w:p>
        </w:tc>
        <w:tc>
          <w:tcPr>
            <w:tcW w:w="1067" w:type="dxa"/>
          </w:tcPr>
          <w:p>
            <w:pPr/>
            <w:r>
              <w:t xml:space="preserve">68.300</w:t>
            </w:r>
          </w:p>
        </w:tc>
        <w:tc>
          <w:tcPr>
            <w:tcW w:w="1028" w:type="dxa"/>
          </w:tcPr>
          <w:p>
            <w:pPr/>
            <w:r>
              <w:t xml:space="preserve">78.100</w:t>
            </w:r>
          </w:p>
        </w:tc>
      </w:tr>
      <w:tr>
        <w:tc>
          <w:tcPr>
            <w:tcW w:w="3035" w:type="dxa"/>
          </w:tcPr>
          <w:p>
            <w:pPr/>
            <w:r>
              <w:t xml:space="preserve">Visitas de terceros</w:t>
            </w:r>
          </w:p>
        </w:tc>
        <w:tc>
          <w:tcPr>
            <w:tcW w:w="1028" w:type="dxa"/>
          </w:tcPr>
          <w:p>
            <w:pPr/>
            <w:r>
              <w:t xml:space="preserve">267.500</w:t>
            </w:r>
          </w:p>
        </w:tc>
        <w:tc>
          <w:tcPr>
            <w:tcW w:w="1067" w:type="dxa"/>
          </w:tcPr>
          <w:p>
            <w:pPr/>
            <w:r>
              <w:t xml:space="preserve">264.400</w:t>
            </w:r>
          </w:p>
        </w:tc>
        <w:tc>
          <w:tcPr>
            <w:tcW w:w="1067" w:type="dxa"/>
          </w:tcPr>
          <w:p>
            <w:pPr/>
            <w:r>
              <w:t xml:space="preserve">248.900</w:t>
            </w:r>
          </w:p>
        </w:tc>
        <w:tc>
          <w:tcPr>
            <w:tcW w:w="1067" w:type="dxa"/>
          </w:tcPr>
          <w:p>
            <w:pPr/>
            <w:r>
              <w:t xml:space="preserve">220.900</w:t>
            </w:r>
          </w:p>
        </w:tc>
        <w:tc>
          <w:tcPr>
            <w:tcW w:w="1067" w:type="dxa"/>
          </w:tcPr>
          <w:p>
            <w:pPr/>
            <w:r>
              <w:t xml:space="preserve">199.200</w:t>
            </w:r>
          </w:p>
        </w:tc>
        <w:tc>
          <w:tcPr>
            <w:tcW w:w="1028" w:type="dxa"/>
          </w:tcPr>
          <w:p>
            <w:pPr/>
            <w:r>
              <w:t xml:space="preserve">189.400</w:t>
            </w:r>
          </w:p>
        </w:tc>
      </w:tr>
      <w:tr>
        <w:tc>
          <w:tcPr>
            <w:tcW w:w="3035" w:type="dxa"/>
          </w:tcPr>
          <w:p>
            <w:pPr/>
            <w:r>
              <w:t xml:space="preserve">Técnicos de terceros equivalentes</w:t>
            </w:r>
          </w:p>
        </w:tc>
        <w:tc>
          <w:tcPr>
            <w:tcW w:w="1028" w:type="dxa"/>
          </w:tcPr>
          <w:p>
            <w:pPr/>
            <w:r>
              <w:t xml:space="preserve">600</w:t>
            </w:r>
          </w:p>
        </w:tc>
        <w:tc>
          <w:tcPr>
            <w:tcW w:w="1067" w:type="dxa"/>
          </w:tcPr>
          <w:p>
            <w:pPr/>
            <w:r>
              <w:t xml:space="preserve">593</w:t>
            </w:r>
          </w:p>
        </w:tc>
        <w:tc>
          <w:tcPr>
            <w:tcW w:w="1067" w:type="dxa"/>
          </w:tcPr>
          <w:p>
            <w:pPr/>
            <w:r>
              <w:t xml:space="preserve">558</w:t>
            </w:r>
          </w:p>
        </w:tc>
        <w:tc>
          <w:tcPr>
            <w:tcW w:w="1067" w:type="dxa"/>
          </w:tcPr>
          <w:p>
            <w:pPr/>
            <w:r>
              <w:t xml:space="preserve">496</w:t>
            </w:r>
          </w:p>
        </w:tc>
        <w:tc>
          <w:tcPr>
            <w:tcW w:w="1067" w:type="dxa"/>
          </w:tcPr>
          <w:p>
            <w:pPr/>
            <w:r>
              <w:t xml:space="preserve">447</w:t>
            </w:r>
          </w:p>
        </w:tc>
        <w:tc>
          <w:tcPr>
            <w:tcW w:w="1028" w:type="dxa"/>
          </w:tcPr>
          <w:p>
            <w:pPr/>
            <w:r>
              <w:t xml:space="preserve">425</w:t>
            </w:r>
          </w:p>
        </w:tc>
      </w:tr>
      <w:tr>
        <w:tc>
          <w:tcPr>
            <w:tcW w:w="3035" w:type="dxa"/>
          </w:tcPr>
          <w:p>
            <w:pPr/>
            <w:r>
              <w:t xml:space="preserve">Técnicos propios a 7 visitas/día</w:t>
            </w:r>
          </w:p>
        </w:tc>
        <w:tc>
          <w:tcPr>
            <w:tcW w:w="1028" w:type="dxa"/>
          </w:tcPr>
          <w:p>
            <w:pPr/>
            <w:r>
              <w:t xml:space="preserve">400</w:t>
            </w:r>
          </w:p>
        </w:tc>
        <w:tc>
          <w:tcPr>
            <w:tcW w:w="1067" w:type="dxa"/>
          </w:tcPr>
          <w:p>
            <w:pPr/>
            <w:r>
              <w:t xml:space="preserve">400</w:t>
            </w:r>
          </w:p>
        </w:tc>
        <w:tc>
          <w:tcPr>
            <w:tcW w:w="1067" w:type="dxa"/>
          </w:tcPr>
          <w:p>
            <w:pPr/>
            <w:r>
              <w:t xml:space="preserve">400</w:t>
            </w:r>
          </w:p>
        </w:tc>
        <w:tc>
          <w:tcPr>
            <w:tcW w:w="1067" w:type="dxa"/>
          </w:tcPr>
          <w:p>
            <w:pPr/>
            <w:r>
              <w:t xml:space="preserve">400</w:t>
            </w:r>
          </w:p>
        </w:tc>
        <w:tc>
          <w:tcPr>
            <w:tcW w:w="1067" w:type="dxa"/>
          </w:tcPr>
          <w:p>
            <w:pPr/>
            <w:r>
              <w:t xml:space="preserve">400</w:t>
            </w:r>
          </w:p>
        </w:tc>
        <w:tc>
          <w:tcPr>
            <w:tcW w:w="1028" w:type="dxa"/>
          </w:tcPr>
          <w:p>
            <w:pPr/>
            <w:r>
              <w:t xml:space="preserve">400</w:t>
            </w:r>
          </w:p>
        </w:tc>
      </w:tr>
      <w:tr>
        <w:tc>
          <w:tcPr>
            <w:tcW w:w="3035" w:type="dxa"/>
          </w:tcPr>
          <w:p>
            <w:pPr/>
            <w:r>
              <w:t xml:space="preserve">Visitas cada 100 órdenes resueltas</w:t>
            </w:r>
          </w:p>
        </w:tc>
        <w:tc>
          <w:tcPr>
            <w:tcW w:w="1028" w:type="dxa"/>
          </w:tcPr>
          <w:p>
            <w:pPr/>
            <w:r>
              <w:t xml:space="preserve">148</w:t>
            </w:r>
          </w:p>
        </w:tc>
        <w:tc>
          <w:tcPr>
            <w:tcW w:w="1067" w:type="dxa"/>
          </w:tcPr>
          <w:p>
            <w:pPr/>
            <w:r>
              <w:t xml:space="preserve">146,9</w:t>
            </w:r>
          </w:p>
        </w:tc>
        <w:tc>
          <w:tcPr>
            <w:tcW w:w="1067" w:type="dxa"/>
          </w:tcPr>
          <w:p>
            <w:pPr/>
            <w:r>
              <w:t xml:space="preserve">141,8</w:t>
            </w:r>
          </w:p>
        </w:tc>
        <w:tc>
          <w:tcPr>
            <w:tcW w:w="1067" w:type="dxa"/>
          </w:tcPr>
          <w:p>
            <w:pPr/>
            <w:r>
              <w:t xml:space="preserve">132,5</w:t>
            </w:r>
          </w:p>
        </w:tc>
        <w:tc>
          <w:tcPr>
            <w:tcW w:w="1067" w:type="dxa"/>
          </w:tcPr>
          <w:p>
            <w:pPr/>
            <w:r>
              <w:t xml:space="preserve">125,3</w:t>
            </w:r>
          </w:p>
        </w:tc>
        <w:tc>
          <w:tcPr>
            <w:tcW w:w="1028" w:type="dxa"/>
          </w:tcPr>
          <w:p>
            <w:pPr/>
            <w:r>
              <w:t xml:space="preserve">122,1</w:t>
            </w:r>
          </w:p>
        </w:tc>
      </w:tr>
      <w:tr>
        <w:tc>
          <w:tcPr>
            <w:tcW w:w="3035" w:type="dxa"/>
          </w:tcPr>
          <w:p>
            <w:pPr/>
            <w:r>
              <w:t xml:space="preserve">Órdenes resueltas por técnico y día</w:t>
            </w:r>
          </w:p>
        </w:tc>
        <w:tc>
          <w:tcPr>
            <w:tcW w:w="1028" w:type="dxa"/>
          </w:tcPr>
          <w:p>
            <w:pPr/>
            <w:r>
              <w:t xml:space="preserve">4,73</w:t>
            </w:r>
          </w:p>
        </w:tc>
        <w:tc>
          <w:tcPr>
            <w:tcW w:w="1067" w:type="dxa"/>
          </w:tcPr>
          <w:p>
            <w:pPr/>
            <w:r>
              <w:t xml:space="preserve">4,76</w:t>
            </w:r>
          </w:p>
        </w:tc>
        <w:tc>
          <w:tcPr>
            <w:tcW w:w="1067" w:type="dxa"/>
          </w:tcPr>
          <w:p>
            <w:pPr/>
            <w:r>
              <w:t xml:space="preserve">4,94</w:t>
            </w:r>
          </w:p>
        </w:tc>
        <w:tc>
          <w:tcPr>
            <w:tcW w:w="1067" w:type="dxa"/>
          </w:tcPr>
          <w:p>
            <w:pPr/>
            <w:r>
              <w:t xml:space="preserve">5,28</w:t>
            </w:r>
          </w:p>
        </w:tc>
        <w:tc>
          <w:tcPr>
            <w:tcW w:w="1067" w:type="dxa"/>
          </w:tcPr>
          <w:p>
            <w:pPr/>
            <w:r>
              <w:t xml:space="preserve">5,59</w:t>
            </w:r>
          </w:p>
        </w:tc>
        <w:tc>
          <w:tcPr>
            <w:tcW w:w="1028" w:type="dxa"/>
          </w:tcPr>
          <w:p>
            <w:pPr/>
            <w:r>
              <w:t xml:space="preserve">5,74</w:t>
            </w:r>
          </w:p>
        </w:tc>
      </w:tr>
      <w:tr>
        <w:tc>
          <w:tcPr>
            <w:tcW w:w="3035" w:type="dxa"/>
          </w:tcPr>
          <w:p>
            <w:pPr/>
            <w:r>
              <w:t xml:space="preserve">Métrica norte (USD por orden resuelta)</w:t>
            </w:r>
          </w:p>
        </w:tc>
        <w:tc>
          <w:tcPr>
            <w:tcW w:w="1028" w:type="dxa"/>
          </w:tcPr>
          <w:p>
            <w:pPr/>
            <w:r>
              <w:t xml:space="preserve">47,3</w:t>
            </w:r>
          </w:p>
        </w:tc>
        <w:tc>
          <w:tcPr>
            <w:tcW w:w="1067" w:type="dxa"/>
          </w:tcPr>
          <w:p>
            <w:pPr/>
            <w:r>
              <w:t xml:space="preserve">47,3</w:t>
            </w:r>
          </w:p>
        </w:tc>
        <w:tc>
          <w:tcPr>
            <w:tcW w:w="1067" w:type="dxa"/>
          </w:tcPr>
          <w:p>
            <w:pPr/>
            <w:r>
              <w:t xml:space="preserve">46,0</w:t>
            </w:r>
          </w:p>
        </w:tc>
        <w:tc>
          <w:tcPr>
            <w:tcW w:w="1067" w:type="dxa"/>
          </w:tcPr>
          <w:p>
            <w:pPr/>
            <w:r>
              <w:t xml:space="preserve">43,2</w:t>
            </w:r>
          </w:p>
        </w:tc>
        <w:tc>
          <w:tcPr>
            <w:tcW w:w="1067" w:type="dxa"/>
          </w:tcPr>
          <w:p>
            <w:pPr/>
            <w:r>
              <w:t xml:space="preserve">41,2</w:t>
            </w:r>
          </w:p>
        </w:tc>
        <w:tc>
          <w:tcPr>
            <w:tcW w:w="1028" w:type="dxa"/>
          </w:tcPr>
          <w:p>
            <w:pPr/>
            <w:r>
              <w:t xml:space="preserve">40,3</w:t>
            </w:r>
          </w:p>
        </w:tc>
      </w:tr>
      <w:tr>
        <w:tc>
          <w:tcPr>
            <w:tcW w:w="3035" w:type="dxa"/>
          </w:tcPr>
          <w:p>
            <w:pPr/>
            <w:r>
              <w:rPr>
                <w:b/>
              </w:rPr>
              <w:t xml:space="preserve">Financiero (USD M)</w:t>
            </w:r>
          </w:p>
        </w:tc>
        <w:tc>
          <w:tcPr>
            <w:tcW w:w="1028" w:type="dxa"/>
          </w:tcPr>
          <w:p>
            <w:pPr/>
          </w:p>
        </w:tc>
        <w:tc>
          <w:tcPr>
            <w:tcW w:w="1067" w:type="dxa"/>
          </w:tcPr>
          <w:p>
            <w:pPr/>
          </w:p>
        </w:tc>
        <w:tc>
          <w:tcPr>
            <w:tcW w:w="1067" w:type="dxa"/>
          </w:tcPr>
          <w:p>
            <w:pPr/>
          </w:p>
        </w:tc>
        <w:tc>
          <w:tcPr>
            <w:tcW w:w="1067" w:type="dxa"/>
          </w:tcPr>
          <w:p>
            <w:pPr/>
          </w:p>
        </w:tc>
        <w:tc>
          <w:tcPr>
            <w:tcW w:w="1067" w:type="dxa"/>
          </w:tcPr>
          <w:p>
            <w:pPr/>
          </w:p>
        </w:tc>
        <w:tc>
          <w:tcPr>
            <w:tcW w:w="1028" w:type="dxa"/>
          </w:tcPr>
          <w:p>
            <w:pPr/>
          </w:p>
        </w:tc>
      </w:tr>
      <w:tr>
        <w:tc>
          <w:tcPr>
            <w:tcW w:w="3035" w:type="dxa"/>
          </w:tcPr>
          <w:p>
            <w:pPr/>
            <w:r>
              <w:t xml:space="preserve">Factura de terceros</w:t>
            </w:r>
          </w:p>
        </w:tc>
        <w:tc>
          <w:tcPr>
            <w:tcW w:w="1028" w:type="dxa"/>
          </w:tcPr>
          <w:p>
            <w:pPr/>
            <w:r>
              <w:t xml:space="preserve">8,56</w:t>
            </w:r>
          </w:p>
        </w:tc>
        <w:tc>
          <w:tcPr>
            <w:tcW w:w="1067" w:type="dxa"/>
          </w:tcPr>
          <w:p>
            <w:pPr/>
            <w:r>
              <w:t xml:space="preserve">8,46</w:t>
            </w:r>
          </w:p>
        </w:tc>
        <w:tc>
          <w:tcPr>
            <w:tcW w:w="1067" w:type="dxa"/>
          </w:tcPr>
          <w:p>
            <w:pPr/>
            <w:r>
              <w:t xml:space="preserve">7,96</w:t>
            </w:r>
          </w:p>
        </w:tc>
        <w:tc>
          <w:tcPr>
            <w:tcW w:w="1067" w:type="dxa"/>
          </w:tcPr>
          <w:p>
            <w:pPr/>
            <w:r>
              <w:t xml:space="preserve">7,07</w:t>
            </w:r>
          </w:p>
        </w:tc>
        <w:tc>
          <w:tcPr>
            <w:tcW w:w="1067" w:type="dxa"/>
          </w:tcPr>
          <w:p>
            <w:pPr/>
            <w:r>
              <w:t xml:space="preserve">6,37</w:t>
            </w:r>
          </w:p>
        </w:tc>
        <w:tc>
          <w:tcPr>
            <w:tcW w:w="1028" w:type="dxa"/>
          </w:tcPr>
          <w:p>
            <w:pPr/>
            <w:r>
              <w:t xml:space="preserve">6,06</w:t>
            </w:r>
          </w:p>
        </w:tc>
      </w:tr>
      <w:tr>
        <w:tc>
          <w:tcPr>
            <w:tcW w:w="3035" w:type="dxa"/>
          </w:tcPr>
          <w:p>
            <w:pPr/>
            <w:r>
              <w:t xml:space="preserve">Ahorro neto en costo de campo</w:t>
            </w:r>
          </w:p>
        </w:tc>
        <w:tc>
          <w:tcPr>
            <w:tcW w:w="1028" w:type="dxa"/>
          </w:tcPr>
          <w:p>
            <w:pPr/>
            <w:r>
              <w:t xml:space="preserve">—</w:t>
            </w:r>
          </w:p>
        </w:tc>
        <w:tc>
          <w:tcPr>
            <w:tcW w:w="1067" w:type="dxa"/>
          </w:tcPr>
          <w:p>
            <w:pPr/>
            <w:r>
              <w:t xml:space="preserve">0,10</w:t>
            </w:r>
          </w:p>
        </w:tc>
        <w:tc>
          <w:tcPr>
            <w:tcW w:w="1067" w:type="dxa"/>
          </w:tcPr>
          <w:p>
            <w:pPr/>
            <w:r>
              <w:t xml:space="preserve">0,58</w:t>
            </w:r>
          </w:p>
        </w:tc>
        <w:tc>
          <w:tcPr>
            <w:tcW w:w="1067" w:type="dxa"/>
          </w:tcPr>
          <w:p>
            <w:pPr/>
            <w:r>
              <w:t xml:space="preserve">1,45</w:t>
            </w:r>
          </w:p>
        </w:tc>
        <w:tc>
          <w:tcPr>
            <w:tcW w:w="1067" w:type="dxa"/>
          </w:tcPr>
          <w:p>
            <w:pPr/>
            <w:r>
              <w:t xml:space="preserve">2,12</w:t>
            </w:r>
          </w:p>
        </w:tc>
        <w:tc>
          <w:tcPr>
            <w:tcW w:w="1028" w:type="dxa"/>
          </w:tcPr>
          <w:p>
            <w:pPr/>
            <w:r>
              <w:t xml:space="preserve">2,43</w:t>
            </w:r>
          </w:p>
        </w:tc>
      </w:tr>
      <w:tr>
        <w:tc>
          <w:tcPr>
            <w:tcW w:w="3035" w:type="dxa"/>
          </w:tcPr>
          <w:p>
            <w:pPr/>
            <w:r>
              <w:t xml:space="preserve">Ingreso: bonificaciones evitadas</w:t>
            </w:r>
          </w:p>
        </w:tc>
        <w:tc>
          <w:tcPr>
            <w:tcW w:w="1028" w:type="dxa"/>
          </w:tcPr>
          <w:p>
            <w:pPr/>
            <w:r>
              <w:t xml:space="preserve">—</w:t>
            </w:r>
          </w:p>
        </w:tc>
        <w:tc>
          <w:tcPr>
            <w:tcW w:w="1067" w:type="dxa"/>
          </w:tcPr>
          <w:p>
            <w:pPr/>
            <w:r>
              <w:t xml:space="preserve">0,00</w:t>
            </w:r>
          </w:p>
        </w:tc>
        <w:tc>
          <w:tcPr>
            <w:tcW w:w="1067" w:type="dxa"/>
          </w:tcPr>
          <w:p>
            <w:pPr/>
            <w:r>
              <w:t xml:space="preserve">0,02</w:t>
            </w:r>
          </w:p>
        </w:tc>
        <w:tc>
          <w:tcPr>
            <w:tcW w:w="1067" w:type="dxa"/>
          </w:tcPr>
          <w:p>
            <w:pPr/>
            <w:r>
              <w:t xml:space="preserve">0,05</w:t>
            </w:r>
          </w:p>
        </w:tc>
        <w:tc>
          <w:tcPr>
            <w:tcW w:w="1067" w:type="dxa"/>
          </w:tcPr>
          <w:p>
            <w:pPr/>
            <w:r>
              <w:t xml:space="preserve">0,08</w:t>
            </w:r>
          </w:p>
        </w:tc>
        <w:tc>
          <w:tcPr>
            <w:tcW w:w="1028" w:type="dxa"/>
          </w:tcPr>
          <w:p>
            <w:pPr/>
            <w:r>
              <w:t xml:space="preserve">0,09</w:t>
            </w:r>
          </w:p>
        </w:tc>
      </w:tr>
      <w:tr>
        <w:tc>
          <w:tcPr>
            <w:tcW w:w="3035" w:type="dxa"/>
          </w:tcPr>
          <w:p>
            <w:pPr/>
            <w:r>
              <w:t xml:space="preserve">Beneficio bruto incremental</w:t>
            </w:r>
          </w:p>
        </w:tc>
        <w:tc>
          <w:tcPr>
            <w:tcW w:w="1028" w:type="dxa"/>
          </w:tcPr>
          <w:p>
            <w:pPr/>
            <w:r>
              <w:t xml:space="preserve">—</w:t>
            </w:r>
          </w:p>
        </w:tc>
        <w:tc>
          <w:tcPr>
            <w:tcW w:w="1067" w:type="dxa"/>
          </w:tcPr>
          <w:p>
            <w:pPr/>
            <w:r>
              <w:t xml:space="preserve">0,10</w:t>
            </w:r>
          </w:p>
        </w:tc>
        <w:tc>
          <w:tcPr>
            <w:tcW w:w="1067" w:type="dxa"/>
          </w:tcPr>
          <w:p>
            <w:pPr/>
            <w:r>
              <w:t xml:space="preserve">0,60</w:t>
            </w:r>
          </w:p>
        </w:tc>
        <w:tc>
          <w:tcPr>
            <w:tcW w:w="1067" w:type="dxa"/>
          </w:tcPr>
          <w:p>
            <w:pPr/>
            <w:r>
              <w:t xml:space="preserve">1,50</w:t>
            </w:r>
          </w:p>
        </w:tc>
        <w:tc>
          <w:tcPr>
            <w:tcW w:w="1067" w:type="dxa"/>
          </w:tcPr>
          <w:p>
            <w:pPr/>
            <w:r>
              <w:t xml:space="preserve">2,20</w:t>
            </w:r>
          </w:p>
        </w:tc>
        <w:tc>
          <w:tcPr>
            <w:tcW w:w="1028" w:type="dxa"/>
          </w:tcPr>
          <w:p>
            <w:pPr/>
            <w:r>
              <w:t xml:space="preserve">2,52</w:t>
            </w:r>
          </w:p>
        </w:tc>
      </w:tr>
      <w:tr>
        <w:tc>
          <w:tcPr>
            <w:tcW w:w="3035" w:type="dxa"/>
          </w:tcPr>
          <w:p>
            <w:pPr/>
            <w:r>
              <w:t xml:space="preserve">Opex de la IA</w:t>
            </w:r>
          </w:p>
        </w:tc>
        <w:tc>
          <w:tcPr>
            <w:tcW w:w="1028" w:type="dxa"/>
          </w:tcPr>
          <w:p>
            <w:pPr/>
            <w:r>
              <w:t xml:space="preserve">—</w:t>
            </w:r>
          </w:p>
        </w:tc>
        <w:tc>
          <w:tcPr>
            <w:tcW w:w="1067" w:type="dxa"/>
          </w:tcPr>
          <w:p>
            <w:pPr/>
            <w:r>
              <w:t xml:space="preserve">−0,10</w:t>
            </w:r>
          </w:p>
        </w:tc>
        <w:tc>
          <w:tcPr>
            <w:tcW w:w="1067" w:type="dxa"/>
          </w:tcPr>
          <w:p>
            <w:pPr/>
            <w:r>
              <w:t xml:space="preserve">−0,20</w:t>
            </w:r>
          </w:p>
        </w:tc>
        <w:tc>
          <w:tcPr>
            <w:tcW w:w="1067" w:type="dxa"/>
          </w:tcPr>
          <w:p>
            <w:pPr/>
            <w:r>
              <w:t xml:space="preserve">−0,22</w:t>
            </w:r>
          </w:p>
        </w:tc>
        <w:tc>
          <w:tcPr>
            <w:tcW w:w="1067" w:type="dxa"/>
          </w:tcPr>
          <w:p>
            <w:pPr/>
            <w:r>
              <w:t xml:space="preserve">−0,28</w:t>
            </w:r>
          </w:p>
        </w:tc>
        <w:tc>
          <w:tcPr>
            <w:tcW w:w="1028" w:type="dxa"/>
          </w:tcPr>
          <w:p>
            <w:pPr/>
            <w:r>
              <w:t xml:space="preserve">−0,33</w:t>
            </w:r>
          </w:p>
        </w:tc>
      </w:tr>
      <w:tr>
        <w:tc>
          <w:tcPr>
            <w:tcW w:w="3035" w:type="dxa"/>
          </w:tcPr>
          <w:p>
            <w:pPr/>
            <w:r>
              <w:rPr>
                <w:b/>
              </w:rPr>
              <w:t xml:space="preserve">Beneficio neto incremental</w:t>
            </w:r>
          </w:p>
        </w:tc>
        <w:tc>
          <w:tcPr>
            <w:tcW w:w="1028" w:type="dxa"/>
          </w:tcPr>
          <w:p>
            <w:pPr/>
            <w:r>
              <w:t xml:space="preserve">—</w:t>
            </w:r>
          </w:p>
        </w:tc>
        <w:tc>
          <w:tcPr>
            <w:tcW w:w="1067" w:type="dxa"/>
          </w:tcPr>
          <w:p>
            <w:pPr/>
            <w:r>
              <w:rPr>
                <w:b/>
              </w:rPr>
              <w:t xml:space="preserve">0,00</w:t>
            </w:r>
          </w:p>
        </w:tc>
        <w:tc>
          <w:tcPr>
            <w:tcW w:w="1067" w:type="dxa"/>
          </w:tcPr>
          <w:p>
            <w:pPr/>
            <w:r>
              <w:rPr>
                <w:b/>
              </w:rPr>
              <w:t xml:space="preserve">0,40</w:t>
            </w:r>
          </w:p>
        </w:tc>
        <w:tc>
          <w:tcPr>
            <w:tcW w:w="1067" w:type="dxa"/>
          </w:tcPr>
          <w:p>
            <w:pPr/>
            <w:r>
              <w:rPr>
                <w:b/>
              </w:rPr>
              <w:t xml:space="preserve">1,28</w:t>
            </w:r>
          </w:p>
        </w:tc>
        <w:tc>
          <w:tcPr>
            <w:tcW w:w="1067" w:type="dxa"/>
          </w:tcPr>
          <w:p>
            <w:pPr/>
            <w:r>
              <w:rPr>
                <w:b/>
              </w:rPr>
              <w:t xml:space="preserve">1,92</w:t>
            </w:r>
          </w:p>
        </w:tc>
        <w:tc>
          <w:tcPr>
            <w:tcW w:w="1028" w:type="dxa"/>
          </w:tcPr>
          <w:p>
            <w:pPr/>
            <w:r>
              <w:rPr>
                <w:b/>
              </w:rPr>
              <w:t xml:space="preserve">2,19</w:t>
            </w:r>
          </w:p>
        </w:tc>
      </w:tr>
      <w:tr>
        <w:tc>
          <w:tcPr>
            <w:tcW w:w="3035" w:type="dxa"/>
          </w:tcPr>
          <w:p>
            <w:pPr/>
            <w:r>
              <w:t xml:space="preserve">Inversión</w:t>
            </w:r>
          </w:p>
        </w:tc>
        <w:tc>
          <w:tcPr>
            <w:tcW w:w="1028" w:type="dxa"/>
          </w:tcPr>
          <w:p>
            <w:pPr/>
            <w:r>
              <w:t xml:space="preserve">—</w:t>
            </w:r>
          </w:p>
        </w:tc>
        <w:tc>
          <w:tcPr>
            <w:tcW w:w="1067" w:type="dxa"/>
          </w:tcPr>
          <w:p>
            <w:pPr/>
            <w:r>
              <w:t xml:space="preserve">−1,35</w:t>
            </w:r>
          </w:p>
        </w:tc>
        <w:tc>
          <w:tcPr>
            <w:tcW w:w="1067" w:type="dxa"/>
          </w:tcPr>
          <w:p>
            <w:pPr/>
            <w:r>
              <w:t xml:space="preserve">−1,94</w:t>
            </w:r>
          </w:p>
        </w:tc>
        <w:tc>
          <w:tcPr>
            <w:tcW w:w="1067" w:type="dxa"/>
          </w:tcPr>
          <w:p>
            <w:pPr/>
            <w:r>
              <w:t xml:space="preserve">−1,29</w:t>
            </w:r>
          </w:p>
        </w:tc>
        <w:tc>
          <w:tcPr>
            <w:tcW w:w="1067" w:type="dxa"/>
          </w:tcPr>
          <w:p>
            <w:pPr/>
            <w:r>
              <w:t xml:space="preserve">−0,82</w:t>
            </w:r>
          </w:p>
        </w:tc>
        <w:tc>
          <w:tcPr>
            <w:tcW w:w="1028" w:type="dxa"/>
          </w:tcPr>
          <w:p>
            <w:pPr/>
            <w:r>
              <w:t xml:space="preserve">—</w:t>
            </w:r>
          </w:p>
        </w:tc>
      </w:tr>
      <w:tr>
        <w:tc>
          <w:tcPr>
            <w:tcW w:w="3035" w:type="dxa"/>
          </w:tcPr>
          <w:p>
            <w:pPr/>
            <w:r>
              <w:t xml:space="preserve">Flujo del trimestre</w:t>
            </w:r>
          </w:p>
        </w:tc>
        <w:tc>
          <w:tcPr>
            <w:tcW w:w="1028" w:type="dxa"/>
          </w:tcPr>
          <w:p>
            <w:pPr/>
            <w:r>
              <w:t xml:space="preserve">—</w:t>
            </w:r>
          </w:p>
        </w:tc>
        <w:tc>
          <w:tcPr>
            <w:tcW w:w="1067" w:type="dxa"/>
          </w:tcPr>
          <w:p>
            <w:pPr/>
            <w:r>
              <w:t xml:space="preserve">−1,35</w:t>
            </w:r>
          </w:p>
        </w:tc>
        <w:tc>
          <w:tcPr>
            <w:tcW w:w="1067" w:type="dxa"/>
          </w:tcPr>
          <w:p>
            <w:pPr/>
            <w:r>
              <w:t xml:space="preserve">−1,54</w:t>
            </w:r>
          </w:p>
        </w:tc>
        <w:tc>
          <w:tcPr>
            <w:tcW w:w="1067" w:type="dxa"/>
          </w:tcPr>
          <w:p>
            <w:pPr/>
            <w:r>
              <w:t xml:space="preserve">−0,01</w:t>
            </w:r>
          </w:p>
        </w:tc>
        <w:tc>
          <w:tcPr>
            <w:tcW w:w="1067" w:type="dxa"/>
          </w:tcPr>
          <w:p>
            <w:pPr/>
            <w:r>
              <w:t xml:space="preserve">+1,10</w:t>
            </w:r>
          </w:p>
        </w:tc>
        <w:tc>
          <w:tcPr>
            <w:tcW w:w="1028" w:type="dxa"/>
          </w:tcPr>
          <w:p>
            <w:pPr/>
            <w:r>
              <w:t xml:space="preserve">+2,19</w:t>
            </w:r>
          </w:p>
        </w:tc>
      </w:tr>
      <w:tr>
        <w:tc>
          <w:tcPr>
            <w:tcW w:w="3035" w:type="dxa"/>
          </w:tcPr>
          <w:p>
            <w:pPr/>
            <w:r>
              <w:t xml:space="preserve">Flujo acumulado</w:t>
            </w:r>
          </w:p>
        </w:tc>
        <w:tc>
          <w:tcPr>
            <w:tcW w:w="1028" w:type="dxa"/>
          </w:tcPr>
          <w:p>
            <w:pPr/>
            <w:r>
              <w:t xml:space="preserve">—</w:t>
            </w:r>
          </w:p>
        </w:tc>
        <w:tc>
          <w:tcPr>
            <w:tcW w:w="1067" w:type="dxa"/>
          </w:tcPr>
          <w:p>
            <w:pPr/>
            <w:r>
              <w:t xml:space="preserve">−1,35</w:t>
            </w:r>
          </w:p>
        </w:tc>
        <w:tc>
          <w:tcPr>
            <w:tcW w:w="1067" w:type="dxa"/>
          </w:tcPr>
          <w:p>
            <w:pPr/>
            <w:r>
              <w:t xml:space="preserve">−2,89</w:t>
            </w:r>
          </w:p>
        </w:tc>
        <w:tc>
          <w:tcPr>
            <w:tcW w:w="1067" w:type="dxa"/>
          </w:tcPr>
          <w:p>
            <w:pPr/>
            <w:r>
              <w:t xml:space="preserve">−2,90</w:t>
            </w:r>
          </w:p>
        </w:tc>
        <w:tc>
          <w:tcPr>
            <w:tcW w:w="1067" w:type="dxa"/>
          </w:tcPr>
          <w:p>
            <w:pPr/>
            <w:r>
              <w:t xml:space="preserve">−1,80</w:t>
            </w:r>
          </w:p>
        </w:tc>
        <w:tc>
          <w:tcPr>
            <w:tcW w:w="1028" w:type="dxa"/>
          </w:tcPr>
          <w:p>
            <w:pPr/>
            <w:r>
              <w:t xml:space="preserve">+0,39 (Q1)</w:t>
            </w:r>
          </w:p>
        </w:tc>
      </w:tr>
      <w:tr>
        <w:tc>
          <w:tcPr>
            <w:tcW w:w="3035" w:type="dxa"/>
          </w:tcPr>
          <w:p>
            <w:pPr/>
            <w:r>
              <w:t xml:space="preserve">ROI acumulado</w:t>
            </w:r>
          </w:p>
        </w:tc>
        <w:tc>
          <w:tcPr>
            <w:tcW w:w="1028" w:type="dxa"/>
          </w:tcPr>
          <w:p>
            <w:pPr/>
            <w:r>
              <w:t xml:space="preserve">—</w:t>
            </w:r>
          </w:p>
        </w:tc>
        <w:tc>
          <w:tcPr>
            <w:tcW w:w="1067" w:type="dxa"/>
          </w:tcPr>
          <w:p>
            <w:pPr/>
            <w:r>
              <w:t xml:space="preserve">−100%</w:t>
            </w:r>
          </w:p>
        </w:tc>
        <w:tc>
          <w:tcPr>
            <w:tcW w:w="1067" w:type="dxa"/>
          </w:tcPr>
          <w:p>
            <w:pPr/>
            <w:r>
              <w:t xml:space="preserve">−88%</w:t>
            </w:r>
          </w:p>
        </w:tc>
        <w:tc>
          <w:tcPr>
            <w:tcW w:w="1067" w:type="dxa"/>
          </w:tcPr>
          <w:p>
            <w:pPr/>
            <w:r>
              <w:t xml:space="preserve">−63%</w:t>
            </w:r>
          </w:p>
        </w:tc>
        <w:tc>
          <w:tcPr>
            <w:tcW w:w="1067" w:type="dxa"/>
          </w:tcPr>
          <w:p>
            <w:pPr/>
            <w:r>
              <w:t xml:space="preserve">−33%</w:t>
            </w:r>
          </w:p>
        </w:tc>
        <w:tc>
          <w:tcPr>
            <w:tcW w:w="1028" w:type="dxa"/>
          </w:tcPr>
          <w:p>
            <w:pPr/>
            <w:r>
              <w:t xml:space="preserve">+7% (Q1)</w:t>
            </w:r>
          </w:p>
        </w:tc>
      </w:tr>
    </w:tbl>
    <w:p>
      <w:pPr/>
      <w:r>
        <w:t xml:space="preserve">En 2028 el ROI acumulado sube a 48% en Q2, 88% en Q3 y 129% en Q4. La factura de terceros baja por las visitas liberadas × USD 32; el ahorro neto descuenta además USD 2,5 por cada caso resuelto a distancia.</w:t>
      </w:r>
    </w:p>
    <w:p>
      <w:pPr>
        <w:pStyle w:val="Heading4"/>
      </w:pPr>
      <w:r>
        <w:t xml:space="preserve">Desde cuándo se ve el retorno</w:t>
      </w:r>
    </w:p>
    <w:tbl>
      <w:tblPr>
        <w:tblStyle w:val="TableGrid"/>
        <w:tblW w:w="0" w:type="auto"/>
        <w:tblLayout w:type="fixed"/>
        <w:tblLook w:val="04A0" w:firstRow="1" w:lastRow="0" w:firstColumn="0" w:lastColumn="0" w:noHBand="0" w:noVBand="1"/>
      </w:tblPr>
      <w:tblGrid>
        <w:gridCol w:w="4158"/>
        <w:gridCol w:w="1067"/>
        <w:gridCol w:w="4135"/>
      </w:tblGrid>
      <w:tr>
        <w:trPr>
          <w:tblHeader/>
        </w:trPr>
        <w:tc>
          <w:tcPr>
            <w:tcW w:w="4158" w:type="dxa"/>
            <w:shd w:val="clear" w:color="auto" w:fill="F2F2F2"/>
          </w:tcPr>
          <w:p>
            <w:pPr/>
            <w:r>
              <w:t xml:space="preserve">Hito</w:t>
            </w:r>
          </w:p>
        </w:tc>
        <w:tc>
          <w:tcPr>
            <w:tcW w:w="1067" w:type="dxa"/>
            <w:shd w:val="clear" w:color="auto" w:fill="F2F2F2"/>
          </w:tcPr>
          <w:p>
            <w:pPr/>
            <w:r>
              <w:t xml:space="preserve">Cuándo</w:t>
            </w:r>
          </w:p>
        </w:tc>
        <w:tc>
          <w:tcPr>
            <w:tcW w:w="4135" w:type="dxa"/>
            <w:shd w:val="clear" w:color="auto" w:fill="F2F2F2"/>
          </w:tcPr>
          <w:p>
            <w:pPr/>
            <w:r>
              <w:t xml:space="preserve">Evidencia</w:t>
            </w:r>
          </w:p>
        </w:tc>
      </w:tr>
      <w:tr>
        <w:tc>
          <w:tcPr>
            <w:tcW w:w="4158" w:type="dxa"/>
          </w:tcPr>
          <w:p>
            <w:pPr/>
            <w:r>
              <w:t xml:space="preserve">Primer ahorro en la factura de terceros</w:t>
            </w:r>
          </w:p>
        </w:tc>
        <w:tc>
          <w:tcPr>
            <w:tcW w:w="1067" w:type="dxa"/>
          </w:tcPr>
          <w:p>
            <w:pPr/>
            <w:r>
              <w:t xml:space="preserve">Q1 2027</w:t>
            </w:r>
          </w:p>
        </w:tc>
        <w:tc>
          <w:tcPr>
            <w:tcW w:w="4135" w:type="dxa"/>
          </w:tcPr>
          <w:p>
            <w:pPr/>
            <w:r>
              <w:t xml:space="preserve">Aviso proactivo: menos visitas fallidas; −USD 0,10 M</w:t>
            </w:r>
          </w:p>
        </w:tc>
      </w:tr>
      <w:tr>
        <w:tc>
          <w:tcPr>
            <w:tcW w:w="4158" w:type="dxa"/>
          </w:tcPr>
          <w:p>
            <w:pPr/>
            <w:r>
              <w:t xml:space="preserve">Primer ingreso (bonificaciones evitadas)</w:t>
            </w:r>
          </w:p>
        </w:tc>
        <w:tc>
          <w:tcPr>
            <w:tcW w:w="1067" w:type="dxa"/>
          </w:tcPr>
          <w:p>
            <w:pPr/>
            <w:r>
              <w:t xml:space="preserve">Q2 2027</w:t>
            </w:r>
          </w:p>
        </w:tc>
        <w:tc>
          <w:tcPr>
            <w:tcW w:w="4135" w:type="dxa"/>
          </w:tcPr>
          <w:p>
            <w:pPr/>
            <w:r>
              <w:t xml:space="preserve">Menos fallas repetidas en el grupo tratado que en el control</w:t>
            </w:r>
          </w:p>
        </w:tc>
      </w:tr>
      <w:tr>
        <w:tc>
          <w:tcPr>
            <w:tcW w:w="4158" w:type="dxa"/>
          </w:tcPr>
          <w:p>
            <w:pPr/>
            <w:r>
              <w:t xml:space="preserve">Beneficio neto positivo (beneficio &gt; opex)</w:t>
            </w:r>
          </w:p>
        </w:tc>
        <w:tc>
          <w:tcPr>
            <w:tcW w:w="1067" w:type="dxa"/>
          </w:tcPr>
          <w:p>
            <w:pPr/>
            <w:r>
              <w:t xml:space="preserve">Q2 2027</w:t>
            </w:r>
          </w:p>
        </w:tc>
        <w:tc>
          <w:tcPr>
            <w:tcW w:w="4135" w:type="dxa"/>
          </w:tcPr>
          <w:p>
            <w:pPr/>
            <w:r>
              <w:t xml:space="preserve">+USD 0,40 M en el trimestre</w:t>
            </w:r>
          </w:p>
        </w:tc>
      </w:tr>
      <w:tr>
        <w:tc>
          <w:tcPr>
            <w:tcW w:w="4158" w:type="dxa"/>
          </w:tcPr>
          <w:p>
            <w:pPr/>
            <w:r>
              <w:t xml:space="preserve">Flujo trimestral positivo (beneficio &gt; inversión)</w:t>
            </w:r>
          </w:p>
        </w:tc>
        <w:tc>
          <w:tcPr>
            <w:tcW w:w="1067" w:type="dxa"/>
          </w:tcPr>
          <w:p>
            <w:pPr/>
            <w:r>
              <w:t xml:space="preserve">Q4 2027</w:t>
            </w:r>
          </w:p>
        </w:tc>
        <w:tc>
          <w:tcPr>
            <w:tcW w:w="4135" w:type="dxa"/>
          </w:tcPr>
          <w:p>
            <w:pPr/>
            <w:r>
              <w:t xml:space="preserve">+USD 1,10 M; Q3 cierra en equilibrio</w:t>
            </w:r>
          </w:p>
        </w:tc>
      </w:tr>
      <w:tr>
        <w:tc>
          <w:tcPr>
            <w:tcW w:w="4158" w:type="dxa"/>
          </w:tcPr>
          <w:p>
            <w:pPr/>
            <w:r>
              <w:t xml:space="preserve">Payback: acumulado positivo</w:t>
            </w:r>
          </w:p>
        </w:tc>
        <w:tc>
          <w:tcPr>
            <w:tcW w:w="1067" w:type="dxa"/>
          </w:tcPr>
          <w:p>
            <w:pPr/>
            <w:r>
              <w:t xml:space="preserve">Q1 2028</w:t>
            </w:r>
          </w:p>
        </w:tc>
        <w:tc>
          <w:tcPr>
            <w:tcW w:w="4135" w:type="dxa"/>
          </w:tcPr>
          <w:p>
            <w:pPr/>
            <w:r>
              <w:t xml:space="preserve">+USD 0,39 M; ROI acumulado +7%</w:t>
            </w:r>
          </w:p>
        </w:tc>
      </w:tr>
      <w:tr>
        <w:tc>
          <w:tcPr>
            <w:tcW w:w="4158" w:type="dxa"/>
          </w:tcPr>
          <w:p>
            <w:pPr/>
            <w:r>
              <w:t xml:space="preserve">ROI acumulado mayor a 100%</w:t>
            </w:r>
          </w:p>
        </w:tc>
        <w:tc>
          <w:tcPr>
            <w:tcW w:w="1067" w:type="dxa"/>
          </w:tcPr>
          <w:p>
            <w:pPr/>
            <w:r>
              <w:t xml:space="preserve">Q4 2028</w:t>
            </w:r>
          </w:p>
        </w:tc>
        <w:tc>
          <w:tcPr>
            <w:tcW w:w="4135" w:type="dxa"/>
          </w:tcPr>
          <w:p>
            <w:pPr/>
            <w:r>
              <w:t xml:space="preserve">129%</w:t>
            </w:r>
          </w:p>
        </w:tc>
      </w:tr>
    </w:tbl>
    <w:p>
      <w:pPr>
        <w:pStyle w:val="Heading4"/>
      </w:pPr>
      <w:r>
        <w:t xml:space="preserve">Cómo se mide</w:t>
      </w:r>
    </w:p>
    <w:p>
      <w:pPr>
        <w:pStyle w:val="ListParagraph"/>
        <w:numPr>
          <w:ilvl w:val="0"/>
          <w:numId w:val="6"/>
        </w:numPr>
      </w:pPr>
      <w:r>
        <w:rPr>
          <w:b/>
        </w:rPr>
        <w:t xml:space="preserve">Línea base ajustada por volumen.</w:t>
      </w:r>
      <w:r>
        <w:t xml:space="preserve"> Si crecen los abonados, crecen las órdenes; por eso el ahorro se calcula por orden y no contra el total de visitas.</w:t>
      </w:r>
    </w:p>
    <w:p>
      <w:pPr/>
      <w:r>
        <w:rPr>
          <w:b/>
        </w:rPr>
        <w:t xml:space="preserve">Ahorro del trimestre</w:t>
      </w:r>
      <w:r>
        <w:t xml:space="preserve"> = (visitas por orden de la línea base − visitas por orden del trimestre) × órdenes del trimestre × USD 32 − costo de resolución remota del trimestre</w:t>
      </w:r>
    </w:p>
    <w:p>
      <w:pPr>
        <w:pStyle w:val="ListParagraph"/>
        <w:numPr>
          <w:ilvl w:val="0"/>
          <w:numId w:val="7"/>
        </w:numPr>
      </w:pPr>
      <w:r>
        <w:rPr>
          <w:b/>
        </w:rPr>
        <w:t xml:space="preserve">Grupo de control del 10%.</w:t>
      </w:r>
      <w:r>
        <w:t xml:space="preserve"> Confirma que la diferencia la produce la IA y no la estacionalidad, el clima o un cambio en la red. Si el control también mejora, esa mejora se descuenta.</w:t>
      </w:r>
    </w:p>
    <w:p>
      <w:pPr>
        <w:pStyle w:val="ListParagraph"/>
        <w:numPr>
          <w:ilvl w:val="0"/>
          <w:numId w:val="7"/>
        </w:numPr>
      </w:pPr>
      <w:r>
        <w:rPr>
          <w:b/>
        </w:rPr>
        <w:t xml:space="preserve">Conciliación con la factura de terceros.</w:t>
      </w:r>
      <w:r>
        <w:t xml:space="preserve"> Las visitas ahorradas tienen que aparecer como menos visitas facturadas en el trimestre. Una diferencia mayor al 10% se explica ante el comité.</w:t>
      </w:r>
    </w:p>
    <w:p>
      <w:pPr>
        <w:pStyle w:val="ListParagraph"/>
        <w:numPr>
          <w:ilvl w:val="0"/>
          <w:numId w:val="7"/>
        </w:numPr>
      </w:pPr>
      <w:r>
        <w:rPr>
          <w:b/>
        </w:rPr>
        <w:t xml:space="preserve">Ocupación de la planta propia.</w:t>
      </w:r>
      <w:r>
        <w:t xml:space="preserve"> Se verifica que los 400 técnicos propios sigan en 7 visitas por día; si bajan, la visita liberada no se tradujo en menos terceros.</w:t>
      </w:r>
    </w:p>
    <w:p>
      <w:pPr>
        <w:pStyle w:val="ListParagraph"/>
        <w:numPr>
          <w:ilvl w:val="0"/>
          <w:numId w:val="7"/>
        </w:numPr>
      </w:pPr>
      <w:r>
        <w:rPr>
          <w:b/>
        </w:rPr>
        <w:t xml:space="preserve">ROI acumulado.</w:t>
      </w:r>
      <w:r>
        <w:t xml:space="preserve"> Beneficio neto = ahorro + ingreso − opex de la IA.</w:t>
      </w:r>
    </w:p>
    <w:p>
      <w:pPr/>
      <w:r>
        <w:rPr>
          <w:b/>
        </w:rPr>
        <w:t xml:space="preserve">ROI acumulado</w:t>
      </w:r>
      <w:r>
        <w:t xml:space="preserve"> = (beneficio neto acumulado − inversión acumulada) / inversión acumulada</w:t>
      </w:r>
    </w:p>
    <w:p>
      <w:pPr>
        <w:pStyle w:val="ListParagraph"/>
        <w:numPr>
          <w:ilvl w:val="0"/>
          <w:numId w:val="8"/>
        </w:numPr>
      </w:pPr>
      <w:r>
        <w:rPr>
          <w:b/>
        </w:rPr>
        <w:t xml:space="preserve">Quién certifica.</w:t>
      </w:r>
      <w:r>
        <w:t xml:space="preserve"> Control de Gestión, bajo el CFO, certifica el ahorro y el ROI de cada trimestre antes de la sesión del gate. El CAIO reporta, pero no certifica su propio resultado.</w:t>
      </w:r>
    </w:p>
    <w:p>
      <w:pPr>
        <w:pStyle w:val="ListParagraph"/>
        <w:numPr>
          <w:ilvl w:val="0"/>
          <w:numId w:val="8"/>
        </w:numPr>
      </w:pPr>
      <w:r>
        <w:rPr>
          <w:b/>
        </w:rPr>
        <w:t xml:space="preserve">Qué no se cuenta.</w:t>
      </w:r>
      <w:r>
        <w:t xml:space="preserve"> Minutos de papeleo, mejora de NPS y horas de técnicos propios: no generan caja y quedan como guardas, no como beneficio.</w:t>
      </w:r>
    </w:p>
    <w:p>
      <w:pPr>
        <w:pStyle w:val="Heading2"/>
      </w:pPr>
      <w:r>
        <w:t xml:space="preserve">Anexo C · Arquitectura técnica y modelos</w:t>
      </w:r>
    </w:p>
    <w:p>
      <w:pPr/>
      <w:r>
        <w:t xml:space="preserve">Ningún modelo generativo decide solo: el LLM captura, un modelo de ML explicable predice, Jev decide dentro de un conjunto cerrado de opciones tipadas y un motor de reglas versionadas puede anular la decisión antes y después.</w:t>
      </w:r>
    </w:p>
    <w:p>
      <w:pPr>
        <w:pStyle w:val="Heading3"/>
      </w:pPr>
      <w:r>
        <w:t xml:space="preserve">Cuatro capas sobre los sistemas actuales</w:t>
      </w:r>
    </w:p>
    <w:p>
      <w:pPr/>
      <w:r>
        <w:t xml:space="preserve">La plataforma se monta sobre el FSM actual: lee y escribe órdenes por API, sin reemplazar el core.</w:t>
      </w:r>
    </w:p>
    <w:tbl>
      <w:tblPr>
        <w:tblStyle w:val="TableGrid"/>
        <w:tblW w:w="0" w:type="auto"/>
        <w:tblLayout w:type="fixed"/>
        <w:tblLook w:val="04A0" w:firstRow="1" w:lastRow="0" w:firstColumn="0" w:lastColumn="0" w:noHBand="0" w:noVBand="1"/>
      </w:tblPr>
      <w:tblGrid>
        <w:gridCol w:w="1390"/>
        <w:gridCol w:w="4920"/>
        <w:gridCol w:w="1366"/>
        <w:gridCol w:w="1684"/>
      </w:tblGrid>
      <w:tr>
        <w:trPr>
          <w:tblHeader/>
        </w:trPr>
        <w:tc>
          <w:tcPr>
            <w:tcW w:w="1390" w:type="dxa"/>
            <w:shd w:val="clear" w:color="auto" w:fill="F2F2F2"/>
          </w:tcPr>
          <w:p>
            <w:pPr/>
            <w:r>
              <w:t xml:space="preserve">Capa</w:t>
            </w:r>
          </w:p>
        </w:tc>
        <w:tc>
          <w:tcPr>
            <w:tcW w:w="4920" w:type="dxa"/>
            <w:shd w:val="clear" w:color="auto" w:fill="F2F2F2"/>
          </w:tcPr>
          <w:p>
            <w:pPr/>
            <w:r>
              <w:t xml:space="preserve">Componentes</w:t>
            </w:r>
          </w:p>
        </w:tc>
        <w:tc>
          <w:tcPr>
            <w:tcW w:w="1366" w:type="dxa"/>
            <w:shd w:val="clear" w:color="auto" w:fill="F2F2F2"/>
          </w:tcPr>
          <w:p>
            <w:pPr/>
            <w:r>
              <w:t xml:space="preserve">Integra con</w:t>
            </w:r>
          </w:p>
        </w:tc>
        <w:tc>
          <w:tcPr>
            <w:tcW w:w="1684" w:type="dxa"/>
            <w:shd w:val="clear" w:color="auto" w:fill="F2F2F2"/>
          </w:tcPr>
          <w:p>
            <w:pPr/>
            <w:r>
              <w:t xml:space="preserve">En producción</w:t>
            </w:r>
          </w:p>
        </w:tc>
      </w:tr>
      <w:tr>
        <w:tc>
          <w:tcPr>
            <w:tcW w:w="1390" w:type="dxa"/>
          </w:tcPr>
          <w:p>
            <w:pPr/>
            <w:r>
              <w:t xml:space="preserve">1 · Canales</w:t>
            </w:r>
          </w:p>
        </w:tc>
        <w:tc>
          <w:tcPr>
            <w:tcW w:w="4920" w:type="dxa"/>
          </w:tcPr>
          <w:p>
            <w:pPr/>
            <w:r>
              <w:t xml:space="preserve">WhatsApp, voz (IVR), app del técnico, consola del despachador</w:t>
            </w:r>
          </w:p>
        </w:tc>
        <w:tc>
          <w:tcPr>
            <w:tcW w:w="1366" w:type="dxa"/>
          </w:tcPr>
          <w:p>
            <w:pPr/>
            <w:r>
              <w:t xml:space="preserve">Contact center, app de campo</w:t>
            </w:r>
          </w:p>
        </w:tc>
        <w:tc>
          <w:tcPr>
            <w:tcW w:w="1684" w:type="dxa"/>
          </w:tcPr>
          <w:p>
            <w:pPr/>
            <w:r>
              <w:t xml:space="preserve">Aviso Q1 · triage Q2 · app Q2</w:t>
            </w:r>
          </w:p>
        </w:tc>
      </w:tr>
      <w:tr>
        <w:tc>
          <w:tcPr>
            <w:tcW w:w="1390" w:type="dxa"/>
          </w:tcPr>
          <w:p>
            <w:pPr/>
            <w:r>
              <w:t xml:space="preserve">2 · Agentes y modelos</w:t>
            </w:r>
          </w:p>
        </w:tc>
        <w:tc>
          <w:tcPr>
            <w:tcW w:w="4920" w:type="dxa"/>
          </w:tcPr>
          <w:p>
            <w:pPr/>
            <w:r>
              <w:t xml:space="preserve">Agente de triage, modelo de falla probable, Jev, copiloto con manuales, visión por foto, ruteo, voz a texto</w:t>
            </w:r>
          </w:p>
        </w:tc>
        <w:tc>
          <w:tcPr>
            <w:tcW w:w="1366" w:type="dxa"/>
          </w:tcPr>
          <w:p>
            <w:pPr/>
            <w:r>
              <w:t xml:space="preserve">Gateway (capa 4)</w:t>
            </w:r>
          </w:p>
        </w:tc>
        <w:tc>
          <w:tcPr>
            <w:tcW w:w="1684" w:type="dxa"/>
          </w:tcPr>
          <w:p>
            <w:pPr/>
            <w:r>
              <w:t xml:space="preserve">Escalonado Q1 a Q4</w:t>
            </w:r>
          </w:p>
        </w:tc>
      </w:tr>
      <w:tr>
        <w:tc>
          <w:tcPr>
            <w:tcW w:w="1390" w:type="dxa"/>
          </w:tcPr>
          <w:p>
            <w:pPr/>
            <w:r>
              <w:t xml:space="preserve">3 · Datos</w:t>
            </w:r>
          </w:p>
        </w:tc>
        <w:tc>
          <w:tcPr>
            <w:tcW w:w="4920" w:type="dxa"/>
          </w:tcPr>
          <w:p>
            <w:pPr/>
            <w:r>
              <w:t xml:space="preserve">Capa unificada: órdenes (FSM), cliente y contrato (CRM), telemetría de red y del equipo (ONT, decodificador), inventario, fotos, base de conocimiento</w:t>
            </w:r>
          </w:p>
        </w:tc>
        <w:tc>
          <w:tcPr>
            <w:tcW w:w="1366" w:type="dxa"/>
          </w:tcPr>
          <w:p>
            <w:pPr/>
            <w:r>
              <w:t xml:space="preserve">FSM, CRM, NMS, inventario</w:t>
            </w:r>
          </w:p>
        </w:tc>
        <w:tc>
          <w:tcPr>
            <w:tcW w:w="1684" w:type="dxa"/>
          </w:tcPr>
          <w:p>
            <w:pPr/>
            <w:r>
              <w:t xml:space="preserve">FSM y CRM Q1 · telemetría Q2 · inventario Q3</w:t>
            </w:r>
          </w:p>
        </w:tc>
      </w:tr>
      <w:tr>
        <w:tc>
          <w:tcPr>
            <w:tcW w:w="1390" w:type="dxa"/>
          </w:tcPr>
          <w:p>
            <w:pPr/>
            <w:r>
              <w:t xml:space="preserve">4 · Plataforma y control</w:t>
            </w:r>
          </w:p>
        </w:tc>
        <w:tc>
          <w:tcPr>
            <w:tcW w:w="4920" w:type="dxa"/>
          </w:tcPr>
          <w:p>
            <w:pPr/>
            <w:r>
              <w:t xml:space="preserve">Gateway multiproveedor de modelos, motor de reglas, registro de consentimientos, trazabilidad, monitoreo, MLOps</w:t>
            </w:r>
          </w:p>
        </w:tc>
        <w:tc>
          <w:tcPr>
            <w:tcW w:w="1366" w:type="dxa"/>
          </w:tcPr>
          <w:p>
            <w:pPr/>
            <w:r>
              <w:t xml:space="preserve">Todas</w:t>
            </w:r>
          </w:p>
        </w:tc>
        <w:tc>
          <w:tcPr>
            <w:tcW w:w="1684" w:type="dxa"/>
          </w:tcPr>
          <w:p>
            <w:pPr/>
            <w:r>
              <w:t xml:space="preserve">Q1</w:t>
            </w:r>
          </w:p>
        </w:tc>
      </w:tr>
    </w:tbl>
    <w:p>
      <w:pPr>
        <w:pStyle w:val="Heading3"/>
      </w:pPr>
      <w:r>
        <w:t xml:space="preserve">Flujo de decisión del triage</w:t>
      </w:r>
    </w:p>
    <w:p>
      <w:pPr>
        <w:pStyle w:val="ListParagraph"/>
        <w:numPr>
          <w:ilvl w:val="0"/>
          <w:numId w:val="9"/>
        </w:numPr>
      </w:pPr>
      <w:r>
        <w:rPr>
          <w:b/>
        </w:rPr>
        <w:t xml:space="preserve">Captura.</w:t>
      </w:r>
      <w:r>
        <w:t xml:space="preserve"> El agente conversacional (LLM) pregunta y devuelve un JSON validado contra un esquema tipado: síntoma, servicio afectado, equipo, desde cuándo, disponibilidad. Si el JSON no valida, repregunta; al segundo fallo deriva a una persona. El agente no ejecuta acciones.</w:t>
      </w:r>
    </w:p>
    <w:p>
      <w:pPr>
        <w:pStyle w:val="ListParagraph"/>
        <w:numPr>
          <w:ilvl w:val="0"/>
          <w:numId w:val="9"/>
        </w:numPr>
      </w:pPr>
      <w:r>
        <w:rPr>
          <w:b/>
        </w:rPr>
        <w:t xml:space="preserve">Predicción.</w:t>
      </w:r>
      <w:r>
        <w:t xml:space="preserve"> Un modelo de ML (gradient boosting) entrenado con datos propios estima la falla probable y la probabilidad de resolver a distancia. Variables: telemetría del equipo (potencia óptica, reinicios, errores), incidentes de red abiertos en la zona, historial de órdenes del cliente y antigüedad del equipo. Cada predicción viaja con su explicación (valores SHAP de las 5 variables principales).</w:t>
      </w:r>
    </w:p>
    <w:p>
      <w:pPr>
        <w:pStyle w:val="ListParagraph"/>
        <w:numPr>
          <w:ilvl w:val="0"/>
          <w:numId w:val="9"/>
        </w:numPr>
      </w:pPr>
      <w:r>
        <w:rPr>
          <w:b/>
        </w:rPr>
        <w:t xml:space="preserve">Decisión.</w:t>
      </w:r>
      <w:r>
        <w:t xml:space="preserve"> Jev (TypeSafe AI) elige una opción del enum tipado. El tipo no permite opciones fuera del conjunto ni un despacho sin ventana ni skill. Respaldo: Decisions API de OpenAI con el mismo esquema; si fallan ambos proveedores, decide la combinación ML + reglas.</w:t>
      </w:r>
    </w:p>
    <w:p>
      <w:pPr>
        <w:pStyle w:val="ListParagraph"/>
        <w:numPr>
          <w:ilvl w:val="0"/>
          <w:numId w:val="9"/>
        </w:numPr>
      </w:pPr>
      <w:r>
        <w:rPr>
          <w:b/>
        </w:rPr>
        <w:t xml:space="preserve">Control.</w:t>
      </w:r>
      <w:r>
        <w:t xml:space="preserve"> El motor de reglas versionadas, de las que es dueño Operaciones, actúa dos veces. Antes: resuelve los casos obvios sin consultar a la IA (por ejemplo, una caída masiva conocida implica aviso y no despacho). Después: puede anular la decisión (por ejemplo, un cliente con 2 reclamos en 30 días va siempre a visita o a una persona).</w:t>
      </w:r>
    </w:p>
    <w:p>
      <w:pPr>
        <w:pStyle w:val="ListParagraph"/>
        <w:numPr>
          <w:ilvl w:val="0"/>
          <w:numId w:val="9"/>
        </w:numPr>
      </w:pPr>
      <w:r>
        <w:rPr>
          <w:b/>
        </w:rPr>
        <w:t xml:space="preserve">Acción.</w:t>
      </w:r>
      <w:r>
        <w:t xml:space="preserve"> Se ejecuta la opción, se informa al cliente y todo queda registrado.</w:t>
      </w:r>
    </w:p>
    <w:p>
      <w:pPr>
        <w:pStyle w:val="Heading3"/>
      </w:pPr>
      <w:r>
        <w:t xml:space="preserve">Opciones tipadas</w:t>
      </w:r>
    </w:p>
    <w:p>
      <w:pPr>
        <w:pStyle w:val="Code"/>
      </w:pPr>
      <w:bookmarkStart w:id="1" w:name="bongo_lang_typescript_1"/>
      <w:bookmarkEnd w:id="1"/>
      <w:r>
        <w:t xml:space="preserve">type DecisionTriage =</w:t>
        <w:br/>
        <w:t xml:space="preserve">  | { opcion: "SIN_ACCION"; motivo: "FALLA_MASIVA_CONOCIDA" | "RESUELTO_POR_CLIENTE" }</w:t>
        <w:br/>
        <w:t xml:space="preserve">  | { opcion: "GUIA_REMOTA"; procedimiento: IdProcedimiento; maxMinutos: 15 }</w:t>
        <w:br/>
        <w:t xml:space="preserve">  | { opcion: "ACCION_REMOTA_RED"; accion: "REINICIO" | "RECONFIGURACION" | "CAMBIO_PERFIL" }</w:t>
        <w:br/>
        <w:t xml:space="preserve">  | { opcion: "DESPACHO"; skill: Skill; prioridad: 1 | 2 | 3; ventana: Ventana20Min }</w:t>
        <w:br/>
        <w:t xml:space="preserve">  | { opcion: "DERIVAR_PERSONA"; motivo: MotivoDerivacion }</w:t>
      </w:r>
    </w:p>
    <w:p>
      <w:pPr/>
      <w:r>
        <w:t xml:space="preserve">Ningún otro valor compila. Una compensación al cliente no es una opción del triage: la decide una persona según la política del anexo E.</w:t>
      </w:r>
    </w:p>
    <w:p>
      <w:pPr>
        <w:pStyle w:val="Heading3"/>
      </w:pPr>
      <w:r>
        <w:t xml:space="preserve">Trazabilidad de Jev</w:t>
      </w:r>
    </w:p>
    <w:p>
      <w:pPr/>
      <w:r>
        <w:t xml:space="preserve">Cada decisión genera un registro inmutable (append-only, con hash encadenado) en el data lake.</w:t>
      </w:r>
    </w:p>
    <w:tbl>
      <w:tblPr>
        <w:tblStyle w:val="TableGrid"/>
        <w:tblW w:w="0" w:type="auto"/>
        <w:tblLayout w:type="fixed"/>
        <w:tblLook w:val="04A0" w:firstRow="1" w:lastRow="0" w:firstColumn="0" w:lastColumn="0" w:noHBand="0" w:noVBand="1"/>
      </w:tblPr>
      <w:tblGrid>
        <w:gridCol w:w="2697"/>
        <w:gridCol w:w="6662"/>
      </w:tblGrid>
      <w:tr>
        <w:trPr>
          <w:tblHeader/>
        </w:trPr>
        <w:tc>
          <w:tcPr>
            <w:tcW w:w="2697" w:type="dxa"/>
            <w:shd w:val="clear" w:color="auto" w:fill="F2F2F2"/>
          </w:tcPr>
          <w:p>
            <w:pPr/>
            <w:r>
              <w:t xml:space="preserve">Campo</w:t>
            </w:r>
          </w:p>
        </w:tc>
        <w:tc>
          <w:tcPr>
            <w:tcW w:w="6662" w:type="dxa"/>
            <w:shd w:val="clear" w:color="auto" w:fill="F2F2F2"/>
          </w:tcPr>
          <w:p>
            <w:pPr/>
            <w:r>
              <w:t xml:space="preserve">Contenido</w:t>
            </w:r>
          </w:p>
        </w:tc>
      </w:tr>
      <w:tr>
        <w:tc>
          <w:tcPr>
            <w:tcW w:w="2697" w:type="dxa"/>
          </w:tcPr>
          <w:p>
            <w:pPr/>
            <w:r>
              <w:t xml:space="preserve">Entrada</w:t>
            </w:r>
          </w:p>
        </w:tc>
        <w:tc>
          <w:tcPr>
            <w:tcW w:w="6662" w:type="dxa"/>
          </w:tcPr>
          <w:p>
            <w:pPr/>
            <w:r>
              <w:t xml:space="preserve">ID de cliente seudonimizado, ID de orden, JSON de captura, variables del modelo, versión de los modelos, estado del consentimiento</w:t>
            </w:r>
          </w:p>
        </w:tc>
      </w:tr>
      <w:tr>
        <w:tc>
          <w:tcPr>
            <w:tcW w:w="2697" w:type="dxa"/>
          </w:tcPr>
          <w:p>
            <w:pPr/>
            <w:r>
              <w:t xml:space="preserve">Salida</w:t>
            </w:r>
          </w:p>
        </w:tc>
        <w:tc>
          <w:tcPr>
            <w:tcW w:w="6662" w:type="dxa"/>
          </w:tcPr>
          <w:p>
            <w:pPr/>
            <w:r>
              <w:t xml:space="preserve">Opción elegida, explicación (SHAP + razón en texto), versión de las reglas aplicadas, si la regla anuló a la IA</w:t>
            </w:r>
          </w:p>
        </w:tc>
      </w:tr>
      <w:tr>
        <w:tc>
          <w:tcPr>
            <w:tcW w:w="2697" w:type="dxa"/>
          </w:tcPr>
          <w:p>
            <w:pPr/>
            <w:r>
              <w:t xml:space="preserve">Actor</w:t>
            </w:r>
          </w:p>
        </w:tc>
        <w:tc>
          <w:tcPr>
            <w:tcW w:w="6662" w:type="dxa"/>
          </w:tcPr>
          <w:p>
            <w:pPr/>
            <w:r>
              <w:t xml:space="preserve">IA sola, IA con aprobación humana (quién) o persona</w:t>
            </w:r>
          </w:p>
        </w:tc>
      </w:tr>
      <w:tr>
        <w:tc>
          <w:tcPr>
            <w:tcW w:w="2697" w:type="dxa"/>
          </w:tcPr>
          <w:p>
            <w:pPr/>
            <w:r>
              <w:t xml:space="preserve">Marca de tiempo</w:t>
            </w:r>
          </w:p>
        </w:tc>
        <w:tc>
          <w:tcPr>
            <w:tcW w:w="6662" w:type="dxa"/>
          </w:tcPr>
          <w:p>
            <w:pPr/>
            <w:r>
              <w:t xml:space="preserve">Captura, decisión, ejecución y cierre de la orden</w:t>
            </w:r>
          </w:p>
        </w:tc>
      </w:tr>
      <w:tr>
        <w:tc>
          <w:tcPr>
            <w:tcW w:w="2697" w:type="dxa"/>
          </w:tcPr>
          <w:p>
            <w:pPr/>
            <w:r>
              <w:t xml:space="preserve">Resultado</w:t>
            </w:r>
          </w:p>
        </w:tc>
        <w:tc>
          <w:tcPr>
            <w:tcW w:w="6662" w:type="dxa"/>
          </w:tcPr>
          <w:p>
            <w:pPr/>
            <w:r>
              <w:t xml:space="preserve">¿Se resolvió? ¿Hubo re-reclamo a 7 días? ¿Pertenece al grupo de control?</w:t>
            </w:r>
          </w:p>
        </w:tc>
      </w:tr>
    </w:tbl>
    <w:p>
      <w:pPr/>
      <w:r>
        <w:t xml:space="preserve">Retención de 3 años. Lo consultan el CISO, Legales y Auditoría Interna, y responde a cualquier reclamo del tipo "¿por qué no me mandaron un técnico?".</w:t>
      </w:r>
    </w:p>
    <w:p>
      <w:pPr>
        <w:pStyle w:val="Heading3"/>
      </w:pPr>
      <w:r>
        <w:t xml:space="preserve">Modelo de datos unificado</w:t>
      </w:r>
    </w:p>
    <w:tbl>
      <w:tblPr>
        <w:tblStyle w:val="TableGrid"/>
        <w:tblW w:w="0" w:type="auto"/>
        <w:tblLayout w:type="fixed"/>
        <w:tblLook w:val="04A0" w:firstRow="1" w:lastRow="0" w:firstColumn="0" w:lastColumn="0" w:noHBand="0" w:noVBand="1"/>
      </w:tblPr>
      <w:tblGrid>
        <w:gridCol w:w="1978"/>
        <w:gridCol w:w="2462"/>
        <w:gridCol w:w="4920"/>
      </w:tblGrid>
      <w:tr>
        <w:trPr>
          <w:tblHeader/>
        </w:trPr>
        <w:tc>
          <w:tcPr>
            <w:tcW w:w="1978" w:type="dxa"/>
            <w:shd w:val="clear" w:color="auto" w:fill="F2F2F2"/>
          </w:tcPr>
          <w:p>
            <w:pPr/>
            <w:r>
              <w:t xml:space="preserve">Entidad</w:t>
            </w:r>
          </w:p>
        </w:tc>
        <w:tc>
          <w:tcPr>
            <w:tcW w:w="2462" w:type="dxa"/>
            <w:shd w:val="clear" w:color="auto" w:fill="F2F2F2"/>
          </w:tcPr>
          <w:p>
            <w:pPr/>
            <w:r>
              <w:t xml:space="preserve">Clave</w:t>
            </w:r>
          </w:p>
        </w:tc>
        <w:tc>
          <w:tcPr>
            <w:tcW w:w="4920" w:type="dxa"/>
            <w:shd w:val="clear" w:color="auto" w:fill="F2F2F2"/>
          </w:tcPr>
          <w:p>
            <w:pPr/>
            <w:r>
              <w:t xml:space="preserve">Se relaciona con</w:t>
            </w:r>
          </w:p>
        </w:tc>
      </w:tr>
      <w:tr>
        <w:tc>
          <w:tcPr>
            <w:tcW w:w="1978" w:type="dxa"/>
          </w:tcPr>
          <w:p>
            <w:pPr/>
            <w:r>
              <w:t xml:space="preserve">Cliente</w:t>
            </w:r>
          </w:p>
        </w:tc>
        <w:tc>
          <w:tcPr>
            <w:tcW w:w="2462" w:type="dxa"/>
          </w:tcPr>
          <w:p>
            <w:pPr/>
            <w:r>
              <w:t xml:space="preserve">id_cliente (seudonimizado fuera de CRM)</w:t>
            </w:r>
          </w:p>
        </w:tc>
        <w:tc>
          <w:tcPr>
            <w:tcW w:w="4920" w:type="dxa"/>
          </w:tcPr>
          <w:p>
            <w:pPr/>
            <w:r>
              <w:t xml:space="preserve">Contrato (1:N), Reclamo (1:N), Consentimiento (1:N)</w:t>
            </w:r>
          </w:p>
        </w:tc>
      </w:tr>
      <w:tr>
        <w:tc>
          <w:tcPr>
            <w:tcW w:w="1978" w:type="dxa"/>
          </w:tcPr>
          <w:p>
            <w:pPr/>
            <w:r>
              <w:t xml:space="preserve">Contrato</w:t>
            </w:r>
          </w:p>
        </w:tc>
        <w:tc>
          <w:tcPr>
            <w:tcW w:w="2462" w:type="dxa"/>
          </w:tcPr>
          <w:p>
            <w:pPr/>
            <w:r>
              <w:t xml:space="preserve">id_contrato</w:t>
            </w:r>
          </w:p>
        </w:tc>
        <w:tc>
          <w:tcPr>
            <w:tcW w:w="4920" w:type="dxa"/>
          </w:tcPr>
          <w:p>
            <w:pPr/>
            <w:r>
              <w:t xml:space="preserve">Equipo instalado (1:N), Domicilio (N:1)</w:t>
            </w:r>
          </w:p>
        </w:tc>
      </w:tr>
      <w:tr>
        <w:tc>
          <w:tcPr>
            <w:tcW w:w="1978" w:type="dxa"/>
          </w:tcPr>
          <w:p>
            <w:pPr/>
            <w:r>
              <w:t xml:space="preserve">Equipo instalado</w:t>
            </w:r>
          </w:p>
        </w:tc>
        <w:tc>
          <w:tcPr>
            <w:tcW w:w="2462" w:type="dxa"/>
          </w:tcPr>
          <w:p>
            <w:pPr/>
            <w:r>
              <w:t xml:space="preserve">serie</w:t>
            </w:r>
          </w:p>
        </w:tc>
        <w:tc>
          <w:tcPr>
            <w:tcW w:w="4920" w:type="dxa"/>
          </w:tcPr>
          <w:p>
            <w:pPr/>
            <w:r>
              <w:t xml:space="preserve">Telemetría (1:N), Orden (1:N)</w:t>
            </w:r>
          </w:p>
        </w:tc>
      </w:tr>
      <w:tr>
        <w:tc>
          <w:tcPr>
            <w:tcW w:w="1978" w:type="dxa"/>
          </w:tcPr>
          <w:p>
            <w:pPr/>
            <w:r>
              <w:t xml:space="preserve">Reclamo</w:t>
            </w:r>
          </w:p>
        </w:tc>
        <w:tc>
          <w:tcPr>
            <w:tcW w:w="2462" w:type="dxa"/>
          </w:tcPr>
          <w:p>
            <w:pPr/>
            <w:r>
              <w:t xml:space="preserve">id_reclamo</w:t>
            </w:r>
          </w:p>
        </w:tc>
        <w:tc>
          <w:tcPr>
            <w:tcW w:w="4920" w:type="dxa"/>
          </w:tcPr>
          <w:p>
            <w:pPr/>
            <w:r>
              <w:t xml:space="preserve">Decisión Jev (1:1), Orden (1:0..N)</w:t>
            </w:r>
          </w:p>
        </w:tc>
      </w:tr>
      <w:tr>
        <w:tc>
          <w:tcPr>
            <w:tcW w:w="1978" w:type="dxa"/>
          </w:tcPr>
          <w:p>
            <w:pPr/>
            <w:r>
              <w:t xml:space="preserve">Orden</w:t>
            </w:r>
          </w:p>
        </w:tc>
        <w:tc>
          <w:tcPr>
            <w:tcW w:w="2462" w:type="dxa"/>
          </w:tcPr>
          <w:p>
            <w:pPr/>
            <w:r>
              <w:t xml:space="preserve">id_orden</w:t>
            </w:r>
          </w:p>
        </w:tc>
        <w:tc>
          <w:tcPr>
            <w:tcW w:w="4920" w:type="dxa"/>
          </w:tcPr>
          <w:p>
            <w:pPr/>
            <w:r>
              <w:t xml:space="preserve">Visita (1:N), Técnico (N:1), Foto (1:N)</w:t>
            </w:r>
          </w:p>
        </w:tc>
      </w:tr>
      <w:tr>
        <w:tc>
          <w:tcPr>
            <w:tcW w:w="1978" w:type="dxa"/>
          </w:tcPr>
          <w:p>
            <w:pPr/>
            <w:r>
              <w:t xml:space="preserve">Visita</w:t>
            </w:r>
          </w:p>
        </w:tc>
        <w:tc>
          <w:tcPr>
            <w:tcW w:w="2462" w:type="dxa"/>
          </w:tcPr>
          <w:p>
            <w:pPr/>
            <w:r>
              <w:t xml:space="preserve">id_visita</w:t>
            </w:r>
          </w:p>
        </w:tc>
        <w:tc>
          <w:tcPr>
            <w:tcW w:w="4920" w:type="dxa"/>
          </w:tcPr>
          <w:p>
            <w:pPr/>
            <w:r>
              <w:t xml:space="preserve">Resultado de cierre, informe dictado</w:t>
            </w:r>
          </w:p>
        </w:tc>
      </w:tr>
      <w:tr>
        <w:tc>
          <w:tcPr>
            <w:tcW w:w="1978" w:type="dxa"/>
          </w:tcPr>
          <w:p>
            <w:pPr/>
            <w:r>
              <w:t xml:space="preserve">Técnico</w:t>
            </w:r>
          </w:p>
        </w:tc>
        <w:tc>
          <w:tcPr>
            <w:tcW w:w="2462" w:type="dxa"/>
          </w:tcPr>
          <w:p>
            <w:pPr/>
            <w:r>
              <w:t xml:space="preserve">id_técnico (propio o contratista)</w:t>
            </w:r>
          </w:p>
        </w:tc>
        <w:tc>
          <w:tcPr>
            <w:tcW w:w="4920" w:type="dxa"/>
          </w:tcPr>
          <w:p>
            <w:pPr/>
            <w:r>
              <w:t xml:space="preserve">Skills, zona; sin datos de desempeño individual para la IA</w:t>
            </w:r>
          </w:p>
        </w:tc>
      </w:tr>
    </w:tbl>
    <w:p>
      <w:pPr>
        <w:pStyle w:val="Heading3"/>
      </w:pPr>
      <w:r>
        <w:t xml:space="preserve">MLOps y operación</w:t>
      </w:r>
    </w:p>
    <w:p>
      <w:pPr>
        <w:pStyle w:val="ListParagraph"/>
        <w:numPr>
          <w:ilvl w:val="0"/>
          <w:numId w:val="10"/>
        </w:numPr>
      </w:pPr>
      <w:r>
        <w:rPr>
          <w:b/>
        </w:rPr>
        <w:t xml:space="preserve">Entornos:</w:t>
      </w:r>
      <w:r>
        <w:t xml:space="preserve"> desarrollo, pruebas y producción separados; datos de producción seudonimizados en desarrollo.</w:t>
      </w:r>
    </w:p>
    <w:p>
      <w:pPr>
        <w:pStyle w:val="ListParagraph"/>
        <w:numPr>
          <w:ilvl w:val="0"/>
          <w:numId w:val="10"/>
        </w:numPr>
      </w:pPr>
      <w:r>
        <w:rPr>
          <w:b/>
        </w:rPr>
        <w:t xml:space="preserve">Modo sombra:</w:t>
      </w:r>
      <w:r>
        <w:t xml:space="preserve"> el triage corre en Q1 sin actuar; sus decisiones se comparan con lo que pasó.</w:t>
      </w:r>
    </w:p>
    <w:p>
      <w:pPr>
        <w:pStyle w:val="ListParagraph"/>
        <w:numPr>
          <w:ilvl w:val="0"/>
          <w:numId w:val="10"/>
        </w:numPr>
      </w:pPr>
      <w:r>
        <w:rPr>
          <w:b/>
        </w:rPr>
        <w:t xml:space="preserve">Reentrenamiento:</w:t>
      </w:r>
      <w:r>
        <w:t xml:space="preserve"> mensual para el modelo de falla, con aprobación del comité si cambia la métrica en más de 2 pp.</w:t>
      </w:r>
    </w:p>
    <w:p>
      <w:pPr>
        <w:pStyle w:val="ListParagraph"/>
        <w:numPr>
          <w:ilvl w:val="0"/>
          <w:numId w:val="10"/>
        </w:numPr>
      </w:pPr>
      <w:r>
        <w:rPr>
          <w:b/>
        </w:rPr>
        <w:t xml:space="preserve">Monitoreo:</w:t>
      </w:r>
      <w:r>
        <w:t xml:space="preserve"> deriva de datos, tasa de anulación por reglas, latencia y costo por decisión; alerta si las anulaciones superan el 15%.</w:t>
      </w:r>
    </w:p>
    <w:p>
      <w:pPr>
        <w:pStyle w:val="ListParagraph"/>
        <w:numPr>
          <w:ilvl w:val="0"/>
          <w:numId w:val="10"/>
        </w:numPr>
      </w:pPr>
      <w:r>
        <w:rPr>
          <w:b/>
        </w:rPr>
        <w:t xml:space="preserve">Conmutación:</w:t>
      </w:r>
      <w:r>
        <w:t xml:space="preserve"> el gateway cambia de proveedor ante una falla; ML + reglas como último respaldo.</w:t>
      </w:r>
    </w:p>
    <w:p>
      <w:pPr>
        <w:pStyle w:val="Heading2"/>
      </w:pPr>
      <w:r>
        <w:t xml:space="preserve">Anexo D · Gobierno y autonomía</w:t>
      </w:r>
    </w:p>
    <w:p>
      <w:pPr/>
      <w:r>
        <w:t xml:space="preserve">La IA solo actúa sola en tareas de bajo riesgo y reversibles. Todo lo que afecta a un empleado o cierra un caso sin confirmación del cliente lo decide siempre una persona. El comité de IA decide en cada gate trimestral y el CISO tiene veto.</w:t>
      </w:r>
    </w:p>
    <w:p>
      <w:pPr>
        <w:pStyle w:val="Heading3"/>
      </w:pPr>
      <w:r>
        <w:t xml:space="preserve">Escalera de autonomía</w:t>
      </w:r>
    </w:p>
    <w:tbl>
      <w:tblPr>
        <w:tblStyle w:val="TableGrid"/>
        <w:tblW w:w="0" w:type="auto"/>
        <w:tblLayout w:type="fixed"/>
        <w:tblLook w:val="04A0" w:firstRow="1" w:lastRow="0" w:firstColumn="0" w:lastColumn="0" w:noHBand="0" w:noVBand="1"/>
      </w:tblPr>
      <w:tblGrid>
        <w:gridCol w:w="1113"/>
        <w:gridCol w:w="1588"/>
        <w:gridCol w:w="4920"/>
        <w:gridCol w:w="1739"/>
      </w:tblGrid>
      <w:tr>
        <w:trPr>
          <w:tblHeader/>
        </w:trPr>
        <w:tc>
          <w:tcPr>
            <w:tcW w:w="1113" w:type="dxa"/>
            <w:shd w:val="clear" w:color="auto" w:fill="F2F2F2"/>
          </w:tcPr>
          <w:p>
            <w:pPr/>
            <w:r>
              <w:t xml:space="preserve">Nivel</w:t>
            </w:r>
          </w:p>
        </w:tc>
        <w:tc>
          <w:tcPr>
            <w:tcW w:w="1588" w:type="dxa"/>
            <w:shd w:val="clear" w:color="auto" w:fill="F2F2F2"/>
          </w:tcPr>
          <w:p>
            <w:pPr/>
            <w:r>
              <w:t xml:space="preserve">Qué puede hacer</w:t>
            </w:r>
          </w:p>
        </w:tc>
        <w:tc>
          <w:tcPr>
            <w:tcW w:w="4920" w:type="dxa"/>
            <w:shd w:val="clear" w:color="auto" w:fill="F2F2F2"/>
          </w:tcPr>
          <w:p>
            <w:pPr/>
            <w:r>
              <w:t xml:space="preserve">Casos</w:t>
            </w:r>
          </w:p>
        </w:tc>
        <w:tc>
          <w:tcPr>
            <w:tcW w:w="1739" w:type="dxa"/>
            <w:shd w:val="clear" w:color="auto" w:fill="F2F2F2"/>
          </w:tcPr>
          <w:p>
            <w:pPr/>
            <w:r>
              <w:t xml:space="preserve">Quién responde</w:t>
            </w:r>
          </w:p>
        </w:tc>
      </w:tr>
      <w:tr>
        <w:tc>
          <w:tcPr>
            <w:tcW w:w="1113" w:type="dxa"/>
          </w:tcPr>
          <w:p>
            <w:pPr/>
            <w:r>
              <w:t xml:space="preserve">IA sola</w:t>
            </w:r>
          </w:p>
        </w:tc>
        <w:tc>
          <w:tcPr>
            <w:tcW w:w="1588" w:type="dxa"/>
          </w:tcPr>
          <w:p>
            <w:pPr/>
            <w:r>
              <w:t xml:space="preserve">Actuar y avisar</w:t>
            </w:r>
          </w:p>
        </w:tc>
        <w:tc>
          <w:tcPr>
            <w:tcW w:w="4920" w:type="dxa"/>
          </w:tcPr>
          <w:p>
            <w:pPr/>
            <w:r>
              <w:t xml:space="preserve">Aviso proactivo de llegada; guía remota al cliente; informe de cierre por dictado (el técnico lo confirma); reprogramación pedida por el cliente</w:t>
            </w:r>
          </w:p>
        </w:tc>
        <w:tc>
          <w:tcPr>
            <w:tcW w:w="1739" w:type="dxa"/>
          </w:tcPr>
          <w:p>
            <w:pPr/>
            <w:r>
              <w:t xml:space="preserve">Dueño del proceso (COO), con muestreo semanal</w:t>
            </w:r>
          </w:p>
        </w:tc>
      </w:tr>
      <w:tr>
        <w:tc>
          <w:tcPr>
            <w:tcW w:w="1113" w:type="dxa"/>
          </w:tcPr>
          <w:p>
            <w:pPr/>
            <w:r>
              <w:t xml:space="preserve">IA propone, decide una persona</w:t>
            </w:r>
          </w:p>
        </w:tc>
        <w:tc>
          <w:tcPr>
            <w:tcW w:w="1588" w:type="dxa"/>
          </w:tcPr>
          <w:p>
            <w:pPr/>
            <w:r>
              <w:t xml:space="preserve">Recomendar; una persona aprueba o corrige</w:t>
            </w:r>
          </w:p>
        </w:tc>
        <w:tc>
          <w:tcPr>
            <w:tcW w:w="4920" w:type="dxa"/>
          </w:tcPr>
          <w:p>
            <w:pPr/>
            <w:r>
              <w:t xml:space="preserve">Despacho y ruteo (el despachador valida); no despachar cuando el cliente tuvo un reclamo en 30 días; acción remota sobre la red; cierre de orden con foto dudosa</w:t>
            </w:r>
          </w:p>
        </w:tc>
        <w:tc>
          <w:tcPr>
            <w:tcW w:w="1739" w:type="dxa"/>
          </w:tcPr>
          <w:p>
            <w:pPr/>
            <w:r>
              <w:t xml:space="preserve">Despachador o supervisor de zona</w:t>
            </w:r>
          </w:p>
        </w:tc>
      </w:tr>
      <w:tr>
        <w:tc>
          <w:tcPr>
            <w:tcW w:w="1113" w:type="dxa"/>
          </w:tcPr>
          <w:p>
            <w:pPr/>
            <w:r>
              <w:t xml:space="preserve">Siempre una persona</w:t>
            </w:r>
          </w:p>
        </w:tc>
        <w:tc>
          <w:tcPr>
            <w:tcW w:w="1588" w:type="dxa"/>
          </w:tcPr>
          <w:p>
            <w:pPr/>
            <w:r>
              <w:t xml:space="preserve">La IA solo aporta información</w:t>
            </w:r>
          </w:p>
        </w:tc>
        <w:tc>
          <w:tcPr>
            <w:tcW w:w="4920" w:type="dxa"/>
          </w:tcPr>
          <w:p>
            <w:pPr/>
            <w:r>
              <w:t xml:space="preserve">Cierre de caso sin confirmación del cliente; compensaciones y bonificaciones; cliente que pide hablar con una persona; reclamos ante el ente regulador o defensa del consumidor; cualquier decisión sobre un técnico (asignación disciplinaria, evaluación, sanción)</w:t>
            </w:r>
          </w:p>
        </w:tc>
        <w:tc>
          <w:tcPr>
            <w:tcW w:w="1739" w:type="dxa"/>
          </w:tcPr>
          <w:p>
            <w:pPr/>
            <w:r>
              <w:t xml:space="preserve">Supervisor, Atención al Cliente o RR.HH.</w:t>
            </w:r>
          </w:p>
        </w:tc>
      </w:tr>
    </w:tbl>
    <w:p>
      <w:pPr/>
      <w:r>
        <w:t xml:space="preserve">Subir un caso de nivel exige aprobación del comité, 8 semanas de evidencia contra el grupo de control y la firma del CISO. Bajarlo lo puede hacer el COO solo, en cualquier momento.</w:t>
      </w:r>
    </w:p>
    <w:p>
      <w:pPr>
        <w:pStyle w:val="Heading3"/>
      </w:pPr>
      <w:r>
        <w:t xml:space="preserve">Matriz de decisión por caso</w:t>
      </w:r>
    </w:p>
    <w:tbl>
      <w:tblPr>
        <w:tblStyle w:val="TableGrid"/>
        <w:tblW w:w="0" w:type="auto"/>
        <w:tblLayout w:type="fixed"/>
        <w:tblLook w:val="04A0" w:firstRow="1" w:lastRow="0" w:firstColumn="0" w:lastColumn="0" w:noHBand="0" w:noVBand="1"/>
      </w:tblPr>
      <w:tblGrid>
        <w:gridCol w:w="1927"/>
        <w:gridCol w:w="1081"/>
        <w:gridCol w:w="1337"/>
        <w:gridCol w:w="1337"/>
        <w:gridCol w:w="1067"/>
        <w:gridCol w:w="1337"/>
        <w:gridCol w:w="1273"/>
      </w:tblGrid>
      <w:tr>
        <w:trPr>
          <w:tblHeader/>
        </w:trPr>
        <w:tc>
          <w:tcPr>
            <w:tcW w:w="1927" w:type="dxa"/>
            <w:shd w:val="clear" w:color="auto" w:fill="F2F2F2"/>
          </w:tcPr>
          <w:p>
            <w:pPr/>
            <w:r>
              <w:t xml:space="preserve">Caso</w:t>
            </w:r>
          </w:p>
        </w:tc>
        <w:tc>
          <w:tcPr>
            <w:tcW w:w="1081" w:type="dxa"/>
            <w:shd w:val="clear" w:color="auto" w:fill="F2F2F2"/>
          </w:tcPr>
          <w:p>
            <w:pPr/>
            <w:r>
              <w:t xml:space="preserve">IA</w:t>
            </w:r>
          </w:p>
        </w:tc>
        <w:tc>
          <w:tcPr>
            <w:tcW w:w="1337" w:type="dxa"/>
            <w:shd w:val="clear" w:color="auto" w:fill="F2F2F2"/>
          </w:tcPr>
          <w:p>
            <w:pPr/>
            <w:r>
              <w:t xml:space="preserve">Despachador</w:t>
            </w:r>
          </w:p>
        </w:tc>
        <w:tc>
          <w:tcPr>
            <w:tcW w:w="1337" w:type="dxa"/>
            <w:shd w:val="clear" w:color="auto" w:fill="F2F2F2"/>
          </w:tcPr>
          <w:p>
            <w:pPr/>
            <w:r>
              <w:t xml:space="preserve">Supervisor de zona</w:t>
            </w:r>
          </w:p>
        </w:tc>
        <w:tc>
          <w:tcPr>
            <w:tcW w:w="1067" w:type="dxa"/>
            <w:shd w:val="clear" w:color="auto" w:fill="F2F2F2"/>
          </w:tcPr>
          <w:p>
            <w:pPr/>
            <w:r>
              <w:t xml:space="preserve">COO</w:t>
            </w:r>
          </w:p>
        </w:tc>
        <w:tc>
          <w:tcPr>
            <w:tcW w:w="1337" w:type="dxa"/>
            <w:shd w:val="clear" w:color="auto" w:fill="F2F2F2"/>
          </w:tcPr>
          <w:p>
            <w:pPr/>
            <w:r>
              <w:t xml:space="preserve">Atención al Cliente</w:t>
            </w:r>
          </w:p>
        </w:tc>
        <w:tc>
          <w:tcPr>
            <w:tcW w:w="1273" w:type="dxa"/>
            <w:shd w:val="clear" w:color="auto" w:fill="F2F2F2"/>
          </w:tcPr>
          <w:p>
            <w:pPr/>
            <w:r>
              <w:t xml:space="preserve">Comité de IA</w:t>
            </w:r>
          </w:p>
        </w:tc>
      </w:tr>
      <w:tr>
        <w:tc>
          <w:tcPr>
            <w:tcW w:w="1927" w:type="dxa"/>
          </w:tcPr>
          <w:p>
            <w:pPr/>
            <w:r>
              <w:t xml:space="preserve">Reclamo con falla masiva conocida</w:t>
            </w:r>
          </w:p>
        </w:tc>
        <w:tc>
          <w:tcPr>
            <w:tcW w:w="1081" w:type="dxa"/>
          </w:tcPr>
          <w:p>
            <w:pPr/>
            <w:r>
              <w:t xml:space="preserve">Avisa al cliente</w:t>
            </w:r>
          </w:p>
        </w:tc>
        <w:tc>
          <w:tcPr>
            <w:tcW w:w="1337" w:type="dxa"/>
          </w:tcPr>
          <w:p>
            <w:pPr/>
            <w:r>
              <w:t xml:space="preserve">—</w:t>
            </w:r>
          </w:p>
        </w:tc>
        <w:tc>
          <w:tcPr>
            <w:tcW w:w="1337" w:type="dxa"/>
          </w:tcPr>
          <w:p>
            <w:pPr/>
            <w:r>
              <w:t xml:space="preserve">—</w:t>
            </w:r>
          </w:p>
        </w:tc>
        <w:tc>
          <w:tcPr>
            <w:tcW w:w="1067" w:type="dxa"/>
          </w:tcPr>
          <w:p>
            <w:pPr/>
            <w:r>
              <w:t xml:space="preserve">Define la regla</w:t>
            </w:r>
          </w:p>
        </w:tc>
        <w:tc>
          <w:tcPr>
            <w:tcW w:w="1337" w:type="dxa"/>
          </w:tcPr>
          <w:p>
            <w:pPr/>
            <w:r>
              <w:t xml:space="preserve">Informado</w:t>
            </w:r>
          </w:p>
        </w:tc>
        <w:tc>
          <w:tcPr>
            <w:tcW w:w="1273" w:type="dxa"/>
          </w:tcPr>
          <w:p>
            <w:pPr/>
            <w:r>
              <w:t xml:space="preserve">—</w:t>
            </w:r>
          </w:p>
        </w:tc>
      </w:tr>
      <w:tr>
        <w:tc>
          <w:tcPr>
            <w:tcW w:w="1927" w:type="dxa"/>
          </w:tcPr>
          <w:p>
            <w:pPr/>
            <w:r>
              <w:t xml:space="preserve">Reclamo resoluble a distancia</w:t>
            </w:r>
          </w:p>
        </w:tc>
        <w:tc>
          <w:tcPr>
            <w:tcW w:w="1081" w:type="dxa"/>
          </w:tcPr>
          <w:p>
            <w:pPr/>
            <w:r>
              <w:t xml:space="preserve">Guía o acción remota</w:t>
            </w:r>
          </w:p>
        </w:tc>
        <w:tc>
          <w:tcPr>
            <w:tcW w:w="1337" w:type="dxa"/>
          </w:tcPr>
          <w:p>
            <w:pPr/>
            <w:r>
              <w:t xml:space="preserve">Valida la acción remota de red</w:t>
            </w:r>
          </w:p>
        </w:tc>
        <w:tc>
          <w:tcPr>
            <w:tcW w:w="1337" w:type="dxa"/>
          </w:tcPr>
          <w:p>
            <w:pPr/>
            <w:r>
              <w:t xml:space="preserve">—</w:t>
            </w:r>
          </w:p>
        </w:tc>
        <w:tc>
          <w:tcPr>
            <w:tcW w:w="1067" w:type="dxa"/>
          </w:tcPr>
          <w:p>
            <w:pPr/>
            <w:r>
              <w:t xml:space="preserve">—</w:t>
            </w:r>
          </w:p>
        </w:tc>
        <w:tc>
          <w:tcPr>
            <w:tcW w:w="1337" w:type="dxa"/>
          </w:tcPr>
          <w:p>
            <w:pPr/>
            <w:r>
              <w:t xml:space="preserve">Toma el caso si el cliente lo pide</w:t>
            </w:r>
          </w:p>
        </w:tc>
        <w:tc>
          <w:tcPr>
            <w:tcW w:w="1273" w:type="dxa"/>
          </w:tcPr>
          <w:p>
            <w:pPr/>
            <w:r>
              <w:t xml:space="preserve">—</w:t>
            </w:r>
          </w:p>
        </w:tc>
      </w:tr>
      <w:tr>
        <w:tc>
          <w:tcPr>
            <w:tcW w:w="1927" w:type="dxa"/>
          </w:tcPr>
          <w:p>
            <w:pPr/>
            <w:r>
              <w:t xml:space="preserve">Reclamo que requiere visita</w:t>
            </w:r>
          </w:p>
        </w:tc>
        <w:tc>
          <w:tcPr>
            <w:tcW w:w="1081" w:type="dxa"/>
          </w:tcPr>
          <w:p>
            <w:pPr/>
            <w:r>
              <w:t xml:space="preserve">Propone técnico, ventana y ruta</w:t>
            </w:r>
          </w:p>
        </w:tc>
        <w:tc>
          <w:tcPr>
            <w:tcW w:w="1337" w:type="dxa"/>
          </w:tcPr>
          <w:p>
            <w:pPr/>
            <w:r>
              <w:t xml:space="preserve">Aprueba o corrige</w:t>
            </w:r>
          </w:p>
        </w:tc>
        <w:tc>
          <w:tcPr>
            <w:tcW w:w="1337" w:type="dxa"/>
          </w:tcPr>
          <w:p>
            <w:pPr/>
            <w:r>
              <w:t xml:space="preserve">Resuelve conflictos de agenda</w:t>
            </w:r>
          </w:p>
        </w:tc>
        <w:tc>
          <w:tcPr>
            <w:tcW w:w="1067" w:type="dxa"/>
          </w:tcPr>
          <w:p>
            <w:pPr/>
            <w:r>
              <w:t xml:space="preserve">—</w:t>
            </w:r>
          </w:p>
        </w:tc>
        <w:tc>
          <w:tcPr>
            <w:tcW w:w="1337" w:type="dxa"/>
          </w:tcPr>
          <w:p>
            <w:pPr/>
            <w:r>
              <w:t xml:space="preserve">—</w:t>
            </w:r>
          </w:p>
        </w:tc>
        <w:tc>
          <w:tcPr>
            <w:tcW w:w="1273" w:type="dxa"/>
          </w:tcPr>
          <w:p>
            <w:pPr/>
            <w:r>
              <w:t xml:space="preserve">—</w:t>
            </w:r>
          </w:p>
        </w:tc>
      </w:tr>
      <w:tr>
        <w:tc>
          <w:tcPr>
            <w:tcW w:w="1927" w:type="dxa"/>
          </w:tcPr>
          <w:p>
            <w:pPr/>
            <w:r>
              <w:t xml:space="preserve">Cliente con 2 reclamos en 30 días</w:t>
            </w:r>
          </w:p>
        </w:tc>
        <w:tc>
          <w:tcPr>
            <w:tcW w:w="1081" w:type="dxa"/>
          </w:tcPr>
          <w:p>
            <w:pPr/>
            <w:r>
              <w:t xml:space="preserve">Propone</w:t>
            </w:r>
          </w:p>
        </w:tc>
        <w:tc>
          <w:tcPr>
            <w:tcW w:w="1337" w:type="dxa"/>
          </w:tcPr>
          <w:p>
            <w:pPr/>
            <w:r>
              <w:t xml:space="preserve">—</w:t>
            </w:r>
          </w:p>
        </w:tc>
        <w:tc>
          <w:tcPr>
            <w:tcW w:w="1337" w:type="dxa"/>
          </w:tcPr>
          <w:p>
            <w:pPr/>
            <w:r>
              <w:t xml:space="preserve">Decide</w:t>
            </w:r>
          </w:p>
        </w:tc>
        <w:tc>
          <w:tcPr>
            <w:tcW w:w="1067" w:type="dxa"/>
          </w:tcPr>
          <w:p>
            <w:pPr/>
            <w:r>
              <w:t xml:space="preserve">—</w:t>
            </w:r>
          </w:p>
        </w:tc>
        <w:tc>
          <w:tcPr>
            <w:tcW w:w="1337" w:type="dxa"/>
          </w:tcPr>
          <w:p>
            <w:pPr/>
            <w:r>
              <w:t xml:space="preserve">Ofrece contacto prioritario</w:t>
            </w:r>
          </w:p>
        </w:tc>
        <w:tc>
          <w:tcPr>
            <w:tcW w:w="1273" w:type="dxa"/>
          </w:tcPr>
          <w:p>
            <w:pPr/>
            <w:r>
              <w:t xml:space="preserve">—</w:t>
            </w:r>
          </w:p>
        </w:tc>
      </w:tr>
      <w:tr>
        <w:tc>
          <w:tcPr>
            <w:tcW w:w="1927" w:type="dxa"/>
          </w:tcPr>
          <w:p>
            <w:pPr/>
            <w:r>
              <w:t xml:space="preserve">Compensación al cliente</w:t>
            </w:r>
          </w:p>
        </w:tc>
        <w:tc>
          <w:tcPr>
            <w:tcW w:w="1081" w:type="dxa"/>
          </w:tcPr>
          <w:p>
            <w:pPr/>
            <w:r>
              <w:t xml:space="preserve">Sugiere monto según política</w:t>
            </w:r>
          </w:p>
        </w:tc>
        <w:tc>
          <w:tcPr>
            <w:tcW w:w="1337" w:type="dxa"/>
          </w:tcPr>
          <w:p>
            <w:pPr/>
            <w:r>
              <w:t xml:space="preserve">—</w:t>
            </w:r>
          </w:p>
        </w:tc>
        <w:tc>
          <w:tcPr>
            <w:tcW w:w="1337" w:type="dxa"/>
          </w:tcPr>
          <w:p>
            <w:pPr/>
            <w:r>
              <w:t xml:space="preserve">—</w:t>
            </w:r>
          </w:p>
        </w:tc>
        <w:tc>
          <w:tcPr>
            <w:tcW w:w="1067" w:type="dxa"/>
          </w:tcPr>
          <w:p>
            <w:pPr/>
            <w:r>
              <w:t xml:space="preserve">—</w:t>
            </w:r>
          </w:p>
        </w:tc>
        <w:tc>
          <w:tcPr>
            <w:tcW w:w="1337" w:type="dxa"/>
          </w:tcPr>
          <w:p>
            <w:pPr/>
            <w:r>
              <w:t xml:space="preserve">Decide dentro de la política</w:t>
            </w:r>
          </w:p>
        </w:tc>
        <w:tc>
          <w:tcPr>
            <w:tcW w:w="1273" w:type="dxa"/>
          </w:tcPr>
          <w:p>
            <w:pPr/>
            <w:r>
              <w:t xml:space="preserve">Aprueba la política</w:t>
            </w:r>
          </w:p>
        </w:tc>
      </w:tr>
      <w:tr>
        <w:tc>
          <w:tcPr>
            <w:tcW w:w="1927" w:type="dxa"/>
          </w:tcPr>
          <w:p>
            <w:pPr/>
            <w:r>
              <w:t xml:space="preserve">Cambio de reglas de despacho</w:t>
            </w:r>
          </w:p>
        </w:tc>
        <w:tc>
          <w:tcPr>
            <w:tcW w:w="1081" w:type="dxa"/>
          </w:tcPr>
          <w:p>
            <w:pPr/>
            <w:r>
              <w:t xml:space="preserve">—</w:t>
            </w:r>
          </w:p>
        </w:tc>
        <w:tc>
          <w:tcPr>
            <w:tcW w:w="1337" w:type="dxa"/>
          </w:tcPr>
          <w:p>
            <w:pPr/>
            <w:r>
              <w:t xml:space="preserve">Propone</w:t>
            </w:r>
          </w:p>
        </w:tc>
        <w:tc>
          <w:tcPr>
            <w:tcW w:w="1337" w:type="dxa"/>
          </w:tcPr>
          <w:p>
            <w:pPr/>
            <w:r>
              <w:t xml:space="preserve">Propone</w:t>
            </w:r>
          </w:p>
        </w:tc>
        <w:tc>
          <w:tcPr>
            <w:tcW w:w="1067" w:type="dxa"/>
          </w:tcPr>
          <w:p>
            <w:pPr/>
            <w:r>
              <w:t xml:space="preserve">Aprueba</w:t>
            </w:r>
          </w:p>
        </w:tc>
        <w:tc>
          <w:tcPr>
            <w:tcW w:w="1337" w:type="dxa"/>
          </w:tcPr>
          <w:p>
            <w:pPr/>
            <w:r>
              <w:t xml:space="preserve">Consultado</w:t>
            </w:r>
          </w:p>
        </w:tc>
        <w:tc>
          <w:tcPr>
            <w:tcW w:w="1273" w:type="dxa"/>
          </w:tcPr>
          <w:p>
            <w:pPr/>
            <w:r>
              <w:t xml:space="preserve">Informado</w:t>
            </w:r>
          </w:p>
        </w:tc>
      </w:tr>
      <w:tr>
        <w:tc>
          <w:tcPr>
            <w:tcW w:w="1927" w:type="dxa"/>
          </w:tcPr>
          <w:p>
            <w:pPr/>
            <w:r>
              <w:t xml:space="preserve">Nuevo caso de uso o subida de autonomía</w:t>
            </w:r>
          </w:p>
        </w:tc>
        <w:tc>
          <w:tcPr>
            <w:tcW w:w="1081" w:type="dxa"/>
          </w:tcPr>
          <w:p>
            <w:pPr/>
            <w:r>
              <w:t xml:space="preserve">—</w:t>
            </w:r>
          </w:p>
        </w:tc>
        <w:tc>
          <w:tcPr>
            <w:tcW w:w="1337" w:type="dxa"/>
          </w:tcPr>
          <w:p>
            <w:pPr/>
            <w:r>
              <w:t xml:space="preserve">—</w:t>
            </w:r>
          </w:p>
        </w:tc>
        <w:tc>
          <w:tcPr>
            <w:tcW w:w="1337" w:type="dxa"/>
          </w:tcPr>
          <w:p>
            <w:pPr/>
            <w:r>
              <w:t xml:space="preserve">—</w:t>
            </w:r>
          </w:p>
        </w:tc>
        <w:tc>
          <w:tcPr>
            <w:tcW w:w="1067" w:type="dxa"/>
          </w:tcPr>
          <w:p>
            <w:pPr/>
            <w:r>
              <w:t xml:space="preserve">Propone</w:t>
            </w:r>
          </w:p>
        </w:tc>
        <w:tc>
          <w:tcPr>
            <w:tcW w:w="1337" w:type="dxa"/>
          </w:tcPr>
          <w:p>
            <w:pPr/>
            <w:r>
              <w:t xml:space="preserve">Consultado</w:t>
            </w:r>
          </w:p>
        </w:tc>
        <w:tc>
          <w:tcPr>
            <w:tcW w:w="1273" w:type="dxa"/>
          </w:tcPr>
          <w:p>
            <w:pPr/>
            <w:r>
              <w:t xml:space="preserve">Aprueba (CISO con veto)</w:t>
            </w:r>
          </w:p>
        </w:tc>
      </w:tr>
    </w:tbl>
    <w:p>
      <w:pPr>
        <w:pStyle w:val="Heading3"/>
      </w:pPr>
      <w:r>
        <w:t xml:space="preserve">Comité de IA</w:t>
      </w:r>
    </w:p>
    <w:p>
      <w:pPr>
        <w:pStyle w:val="ListParagraph"/>
        <w:numPr>
          <w:ilvl w:val="0"/>
          <w:numId w:val="11"/>
        </w:numPr>
      </w:pPr>
      <w:r>
        <w:rPr>
          <w:b/>
        </w:rPr>
        <w:t xml:space="preserve">Preside:</w:t>
      </w:r>
      <w:r>
        <w:t xml:space="preserve"> CAIO.</w:t>
      </w:r>
    </w:p>
    <w:p>
      <w:pPr>
        <w:pStyle w:val="ListParagraph"/>
        <w:numPr>
          <w:ilvl w:val="0"/>
          <w:numId w:val="11"/>
        </w:numPr>
      </w:pPr>
      <w:r>
        <w:rPr>
          <w:b/>
        </w:rPr>
        <w:t xml:space="preserve">Miembros con voto:</w:t>
      </w:r>
      <w:r>
        <w:t xml:space="preserve"> CEO, COO, CFO, CTO/CIO, Atención al Cliente.</w:t>
      </w:r>
    </w:p>
    <w:p>
      <w:pPr>
        <w:pStyle w:val="ListParagraph"/>
        <w:numPr>
          <w:ilvl w:val="0"/>
          <w:numId w:val="11"/>
        </w:numPr>
      </w:pPr>
      <w:r>
        <w:rPr>
          <w:b/>
        </w:rPr>
        <w:t xml:space="preserve">Con veto:</w:t>
      </w:r>
      <w:r>
        <w:t xml:space="preserve"> CISO, sobre seguridad y privacidad.</w:t>
      </w:r>
    </w:p>
    <w:p>
      <w:pPr>
        <w:pStyle w:val="ListParagraph"/>
        <w:numPr>
          <w:ilvl w:val="0"/>
          <w:numId w:val="11"/>
        </w:numPr>
      </w:pPr>
      <w:r>
        <w:rPr>
          <w:b/>
        </w:rPr>
        <w:t xml:space="preserve">Con voz:</w:t>
      </w:r>
      <w:r>
        <w:t xml:space="preserve"> Legales y RR.HH.; el Change Lead como secretario técnico.</w:t>
      </w:r>
    </w:p>
    <w:p>
      <w:pPr>
        <w:pStyle w:val="ListParagraph"/>
        <w:numPr>
          <w:ilvl w:val="0"/>
          <w:numId w:val="11"/>
        </w:numPr>
      </w:pPr>
      <w:r>
        <w:rPr>
          <w:b/>
        </w:rPr>
        <w:t xml:space="preserve">Cadencia:</w:t>
      </w:r>
      <w:r>
        <w:t xml:space="preserve"> semanal en Q1, quincenal de Q2 a Q4, y una sesión extraordinaria por gate.</w:t>
      </w:r>
    </w:p>
    <w:p>
      <w:pPr>
        <w:pStyle w:val="ListParagraph"/>
        <w:numPr>
          <w:ilvl w:val="0"/>
          <w:numId w:val="11"/>
        </w:numPr>
      </w:pPr>
      <w:r>
        <w:rPr>
          <w:b/>
        </w:rPr>
        <w:t xml:space="preserve">Insumos fijos:</w:t>
      </w:r>
      <w:r>
        <w:t xml:space="preserve"> tablero de la métrica norte, resultados contra el grupo de control, guardas (NPS post-visita, SLA de reparación, incidentes de privacidad), tasa de anulación por reglas y ejecución presupuestaria.</w:t>
      </w:r>
    </w:p>
    <w:tbl>
      <w:tblPr>
        <w:tblStyle w:val="TableGrid"/>
        <w:tblW w:w="0" w:type="auto"/>
        <w:tblLayout w:type="fixed"/>
        <w:tblLook w:val="04A0" w:firstRow="1" w:lastRow="0" w:firstColumn="0" w:lastColumn="0" w:noHBand="0" w:noVBand="1"/>
      </w:tblPr>
      <w:tblGrid>
        <w:gridCol w:w="1149"/>
        <w:gridCol w:w="2907"/>
        <w:gridCol w:w="5303"/>
      </w:tblGrid>
      <w:tr>
        <w:trPr>
          <w:tblHeader/>
        </w:trPr>
        <w:tc>
          <w:tcPr>
            <w:tcW w:w="1149" w:type="dxa"/>
            <w:shd w:val="clear" w:color="auto" w:fill="F2F2F2"/>
          </w:tcPr>
          <w:p>
            <w:pPr/>
            <w:r>
              <w:t xml:space="preserve">Gate</w:t>
            </w:r>
          </w:p>
        </w:tc>
        <w:tc>
          <w:tcPr>
            <w:tcW w:w="2907" w:type="dxa"/>
            <w:shd w:val="clear" w:color="auto" w:fill="F2F2F2"/>
          </w:tcPr>
          <w:p>
            <w:pPr/>
            <w:r>
              <w:t xml:space="preserve">Fecha</w:t>
            </w:r>
          </w:p>
        </w:tc>
        <w:tc>
          <w:tcPr>
            <w:tcW w:w="5303" w:type="dxa"/>
            <w:shd w:val="clear" w:color="auto" w:fill="F2F2F2"/>
          </w:tcPr>
          <w:p>
            <w:pPr/>
            <w:r>
              <w:t xml:space="preserve">Decide</w:t>
            </w:r>
          </w:p>
        </w:tc>
      </w:tr>
      <w:tr>
        <w:tc>
          <w:tcPr>
            <w:tcW w:w="1149" w:type="dxa"/>
          </w:tcPr>
          <w:p>
            <w:pPr/>
            <w:r>
              <w:t xml:space="preserve">Gate Q1</w:t>
            </w:r>
          </w:p>
        </w:tc>
        <w:tc>
          <w:tcPr>
            <w:tcW w:w="2907" w:type="dxa"/>
          </w:tcPr>
          <w:p>
            <w:pPr/>
            <w:r>
              <w:t xml:space="preserve">Fin de marzo 2027</w:t>
            </w:r>
          </w:p>
        </w:tc>
        <w:tc>
          <w:tcPr>
            <w:tcW w:w="5303" w:type="dxa"/>
          </w:tcPr>
          <w:p>
            <w:pPr/>
            <w:r>
              <w:t xml:space="preserve">Pasar el triage de modo sombra a producción</w:t>
            </w:r>
          </w:p>
        </w:tc>
      </w:tr>
      <w:tr>
        <w:tc>
          <w:tcPr>
            <w:tcW w:w="1149" w:type="dxa"/>
          </w:tcPr>
          <w:p>
            <w:pPr/>
            <w:r>
              <w:t xml:space="preserve">Gate Q2</w:t>
            </w:r>
          </w:p>
        </w:tc>
        <w:tc>
          <w:tcPr>
            <w:tcW w:w="2907" w:type="dxa"/>
          </w:tcPr>
          <w:p>
            <w:pPr/>
            <w:r>
              <w:t xml:space="preserve">Fin de junio 2027</w:t>
            </w:r>
          </w:p>
        </w:tc>
        <w:tc>
          <w:tcPr>
            <w:tcW w:w="5303" w:type="dxa"/>
          </w:tcPr>
          <w:p>
            <w:pPr/>
            <w:r>
              <w:t xml:space="preserve">Liberar el tramo 2 (recomendación al CEO y al CFO)</w:t>
            </w:r>
          </w:p>
        </w:tc>
      </w:tr>
      <w:tr>
        <w:tc>
          <w:tcPr>
            <w:tcW w:w="1149" w:type="dxa"/>
          </w:tcPr>
          <w:p>
            <w:pPr/>
            <w:r>
              <w:t xml:space="preserve">Gate Q3</w:t>
            </w:r>
          </w:p>
        </w:tc>
        <w:tc>
          <w:tcPr>
            <w:tcW w:w="2907" w:type="dxa"/>
          </w:tcPr>
          <w:p>
            <w:pPr/>
            <w:r>
              <w:t xml:space="preserve">Fin de septiembre 2027</w:t>
            </w:r>
          </w:p>
        </w:tc>
        <w:tc>
          <w:tcPr>
            <w:tcW w:w="5303" w:type="dxa"/>
          </w:tcPr>
          <w:p>
            <w:pPr/>
            <w:r>
              <w:t xml:space="preserve">Escalar el despacho inteligente a toda la operación</w:t>
            </w:r>
          </w:p>
        </w:tc>
      </w:tr>
      <w:tr>
        <w:tc>
          <w:tcPr>
            <w:tcW w:w="1149" w:type="dxa"/>
          </w:tcPr>
          <w:p>
            <w:pPr/>
            <w:r>
              <w:t xml:space="preserve">Gate Q4</w:t>
            </w:r>
          </w:p>
        </w:tc>
        <w:tc>
          <w:tcPr>
            <w:tcW w:w="2907" w:type="dxa"/>
          </w:tcPr>
          <w:p>
            <w:pPr/>
            <w:r>
              <w:t xml:space="preserve">Diciembre 2027</w:t>
            </w:r>
          </w:p>
        </w:tc>
        <w:tc>
          <w:tcPr>
            <w:tcW w:w="5303" w:type="dxa"/>
          </w:tcPr>
          <w:p>
            <w:pPr/>
            <w:r>
              <w:t xml:space="preserve">Fase 2 y segundo dominio para 2028</w:t>
            </w:r>
          </w:p>
        </w:tc>
      </w:tr>
    </w:tbl>
    <w:p>
      <w:pPr>
        <w:pStyle w:val="Heading2"/>
      </w:pPr>
      <w:r>
        <w:t xml:space="preserve">Anexo E · Seguridad, legal y Ley 25.326</w:t>
      </w:r>
    </w:p>
    <w:p>
      <w:pPr/>
      <w:r>
        <w:t xml:space="preserve">Todo ahorro se mide contra un grupo de control permanente del 10%. A los proveedores de IA solo viaja el estado del caso, nunca datos personales. El plan cumple la Ley 25.326 y el Convenio 108+, vigente en Argentina por la Ley 27.699, con evaluación de impacto firmada por el CISO antes de cada salida a producción.</w:t>
      </w:r>
    </w:p>
    <w:p>
      <w:pPr>
        <w:pStyle w:val="Heading3"/>
      </w:pPr>
      <w:r>
        <w:t xml:space="preserve">Grupo de control permanente del 10%</w:t>
      </w:r>
    </w:p>
    <w:p>
      <w:pPr>
        <w:pStyle w:val="ListParagraph"/>
        <w:numPr>
          <w:ilvl w:val="0"/>
          <w:numId w:val="12"/>
        </w:numPr>
      </w:pPr>
      <w:r>
        <w:rPr>
          <w:b/>
        </w:rPr>
        <w:t xml:space="preserve">Qué es:</w:t>
      </w:r>
      <w:r>
        <w:t xml:space="preserve"> el 10% de los reclamos elegibles sigue el proceso actual, sin triage ni despacho por IA. La asignación es aleatoria y estable por cliente (hash del ID).</w:t>
      </w:r>
    </w:p>
    <w:p>
      <w:pPr>
        <w:pStyle w:val="ListParagraph"/>
        <w:numPr>
          <w:ilvl w:val="0"/>
          <w:numId w:val="12"/>
        </w:numPr>
      </w:pPr>
      <w:r>
        <w:rPr>
          <w:b/>
        </w:rPr>
        <w:t xml:space="preserve">Para qué:</w:t>
      </w:r>
      <w:r>
        <w:t xml:space="preserve"> el uplift de cada palanca es la diferencia entre tratados y control en visitas por orden resuelta, first-time fix, visitas fallidas, NPS post-visita y SLA. Es la evidencia que pide el CFO y la base del gate de Q2.</w:t>
      </w:r>
    </w:p>
    <w:p>
      <w:pPr>
        <w:pStyle w:val="ListParagraph"/>
        <w:numPr>
          <w:ilvl w:val="0"/>
          <w:numId w:val="12"/>
        </w:numPr>
      </w:pPr>
      <w:r>
        <w:rPr>
          <w:b/>
        </w:rPr>
        <w:t xml:space="preserve">Despacho y ruteo:</w:t>
      </w:r>
      <w:r>
        <w:t xml:space="preserve"> como afectan a toda una agenda, se controlan por zona y semana alternadas durante el piloto de Q3.</w:t>
      </w:r>
    </w:p>
    <w:p>
      <w:pPr>
        <w:pStyle w:val="ListParagraph"/>
        <w:numPr>
          <w:ilvl w:val="0"/>
          <w:numId w:val="12"/>
        </w:numPr>
      </w:pPr>
      <w:r>
        <w:rPr>
          <w:b/>
        </w:rPr>
        <w:t xml:space="preserve">Duración:</w:t>
      </w:r>
      <w:r>
        <w:t xml:space="preserve"> permanente; el comité puede bajarlo al 5% desde 2029 si la diferencia es estable durante 4 trimestres.</w:t>
      </w:r>
    </w:p>
    <w:p>
      <w:pPr>
        <w:pStyle w:val="ListParagraph"/>
        <w:numPr>
          <w:ilvl w:val="0"/>
          <w:numId w:val="12"/>
        </w:numPr>
      </w:pPr>
      <w:r>
        <w:rPr>
          <w:b/>
        </w:rPr>
        <w:t xml:space="preserve">Costo:</w:t>
      </w:r>
      <w:r>
        <w:t xml:space="preserve"> ya descontado del beneficio del anexo B.</w:t>
      </w:r>
    </w:p>
    <w:p>
      <w:pPr>
        <w:pStyle w:val="Heading3"/>
      </w:pPr>
      <w:r>
        <w:t xml:space="preserve">Controles clave</w:t>
      </w:r>
    </w:p>
    <w:tbl>
      <w:tblPr>
        <w:tblStyle w:val="TableGrid"/>
        <w:tblW w:w="0" w:type="auto"/>
        <w:tblLayout w:type="fixed"/>
        <w:tblLook w:val="04A0" w:firstRow="1" w:lastRow="0" w:firstColumn="0" w:lastColumn="0" w:noHBand="0" w:noVBand="1"/>
      </w:tblPr>
      <w:tblGrid>
        <w:gridCol w:w="2173"/>
        <w:gridCol w:w="4920"/>
        <w:gridCol w:w="2267"/>
      </w:tblGrid>
      <w:tr>
        <w:trPr>
          <w:tblHeader/>
        </w:trPr>
        <w:tc>
          <w:tcPr>
            <w:tcW w:w="2173" w:type="dxa"/>
            <w:shd w:val="clear" w:color="auto" w:fill="F2F2F2"/>
          </w:tcPr>
          <w:p>
            <w:pPr/>
            <w:r>
              <w:t xml:space="preserve">Riesgo</w:t>
            </w:r>
          </w:p>
        </w:tc>
        <w:tc>
          <w:tcPr>
            <w:tcW w:w="4920" w:type="dxa"/>
            <w:shd w:val="clear" w:color="auto" w:fill="F2F2F2"/>
          </w:tcPr>
          <w:p>
            <w:pPr/>
            <w:r>
              <w:t xml:space="preserve">Control</w:t>
            </w:r>
          </w:p>
        </w:tc>
        <w:tc>
          <w:tcPr>
            <w:tcW w:w="2267" w:type="dxa"/>
            <w:shd w:val="clear" w:color="auto" w:fill="F2F2F2"/>
          </w:tcPr>
          <w:p>
            <w:pPr/>
            <w:r>
              <w:t xml:space="preserve">Dueño</w:t>
            </w:r>
          </w:p>
        </w:tc>
      </w:tr>
      <w:tr>
        <w:tc>
          <w:tcPr>
            <w:tcW w:w="2173" w:type="dxa"/>
          </w:tcPr>
          <w:p>
            <w:pPr/>
            <w:r>
              <w:t xml:space="preserve">La IA no despacha a quien lo necesita</w:t>
            </w:r>
          </w:p>
        </w:tc>
        <w:tc>
          <w:tcPr>
            <w:tcW w:w="4920" w:type="dxa"/>
          </w:tcPr>
          <w:p>
            <w:pPr/>
            <w:r>
              <w:t xml:space="preserve">Reglas versionadas de Operaciones que anulan; un segundo reclamo en 30 días va siempre a visita o a una persona</w:t>
            </w:r>
          </w:p>
        </w:tc>
        <w:tc>
          <w:tcPr>
            <w:tcW w:w="2267" w:type="dxa"/>
          </w:tcPr>
          <w:p>
            <w:pPr/>
            <w:r>
              <w:t xml:space="preserve">COO</w:t>
            </w:r>
          </w:p>
        </w:tc>
      </w:tr>
      <w:tr>
        <w:tc>
          <w:tcPr>
            <w:tcW w:w="2173" w:type="dxa"/>
          </w:tcPr>
          <w:p>
            <w:pPr/>
            <w:r>
              <w:t xml:space="preserve">Compensaciones decididas por la IA</w:t>
            </w:r>
          </w:p>
        </w:tc>
        <w:tc>
          <w:tcPr>
            <w:tcW w:w="4920" w:type="dxa"/>
          </w:tcPr>
          <w:p>
            <w:pPr/>
            <w:r>
              <w:t xml:space="preserve">La IA solo sugiere; decide una persona según la política de compensaciones</w:t>
            </w:r>
          </w:p>
        </w:tc>
        <w:tc>
          <w:tcPr>
            <w:tcW w:w="2267" w:type="dxa"/>
          </w:tcPr>
          <w:p>
            <w:pPr/>
            <w:r>
              <w:t xml:space="preserve">Atención al Cliente</w:t>
            </w:r>
          </w:p>
        </w:tc>
      </w:tr>
      <w:tr>
        <w:tc>
          <w:tcPr>
            <w:tcW w:w="2173" w:type="dxa"/>
          </w:tcPr>
          <w:p>
            <w:pPr/>
            <w:r>
              <w:t xml:space="preserve">Manipulación del agente (prompt injection)</w:t>
            </w:r>
          </w:p>
        </w:tc>
        <w:tc>
          <w:tcPr>
            <w:tcW w:w="4920" w:type="dxa"/>
          </w:tcPr>
          <w:p>
            <w:pPr/>
            <w:r>
              <w:t xml:space="preserve">El agente no ejecuta acciones: solo produce un JSON validado; las acciones salen de Jev y de las reglas</w:t>
            </w:r>
          </w:p>
        </w:tc>
        <w:tc>
          <w:tcPr>
            <w:tcW w:w="2267" w:type="dxa"/>
          </w:tcPr>
          <w:p>
            <w:pPr/>
            <w:r>
              <w:t xml:space="preserve">CAIO + CISO</w:t>
            </w:r>
          </w:p>
        </w:tc>
      </w:tr>
      <w:tr>
        <w:tc>
          <w:tcPr>
            <w:tcW w:w="2173" w:type="dxa"/>
          </w:tcPr>
          <w:p>
            <w:pPr/>
            <w:r>
              <w:t xml:space="preserve">Fuga de datos personales</w:t>
            </w:r>
          </w:p>
        </w:tc>
        <w:tc>
          <w:tcPr>
            <w:tcW w:w="4920" w:type="dxa"/>
          </w:tcPr>
          <w:p>
            <w:pPr/>
            <w:r>
              <w:t xml:space="preserve">Seudonimización y enmascaramiento de PII antes del gateway; sin entrenamiento con datos de Austral Conecta por contrato</w:t>
            </w:r>
          </w:p>
        </w:tc>
        <w:tc>
          <w:tcPr>
            <w:tcW w:w="2267" w:type="dxa"/>
          </w:tcPr>
          <w:p>
            <w:pPr/>
            <w:r>
              <w:t xml:space="preserve">CISO</w:t>
            </w:r>
          </w:p>
        </w:tc>
      </w:tr>
      <w:tr>
        <w:tc>
          <w:tcPr>
            <w:tcW w:w="2173" w:type="dxa"/>
          </w:tcPr>
          <w:p>
            <w:pPr/>
            <w:r>
              <w:t xml:space="preserve">Abuso o costo descontrolado</w:t>
            </w:r>
          </w:p>
        </w:tc>
        <w:tc>
          <w:tcPr>
            <w:tcW w:w="4920" w:type="dxa"/>
          </w:tcPr>
          <w:p>
            <w:pPr/>
            <w:r>
              <w:t xml:space="preserve">Límites de uso por cliente y por minuto; tope de gasto mensual por proveedor en el gateway</w:t>
            </w:r>
          </w:p>
        </w:tc>
        <w:tc>
          <w:tcPr>
            <w:tcW w:w="2267" w:type="dxa"/>
          </w:tcPr>
          <w:p>
            <w:pPr/>
            <w:r>
              <w:t xml:space="preserve">PM técnico</w:t>
            </w:r>
          </w:p>
        </w:tc>
      </w:tr>
      <w:tr>
        <w:tc>
          <w:tcPr>
            <w:tcW w:w="2173" w:type="dxa"/>
          </w:tcPr>
          <w:p>
            <w:pPr/>
            <w:r>
              <w:t xml:space="preserve">Fotos con terceros o documentos</w:t>
            </w:r>
          </w:p>
        </w:tc>
        <w:tc>
          <w:tcPr>
            <w:tcW w:w="4920" w:type="dxa"/>
          </w:tcPr>
          <w:p>
            <w:pPr/>
            <w:r>
              <w:t xml:space="preserve">Solo fotos del equipo; desenfoque automático de personas y documentos antes de guardar</w:t>
            </w:r>
          </w:p>
        </w:tc>
        <w:tc>
          <w:tcPr>
            <w:tcW w:w="2267" w:type="dxa"/>
          </w:tcPr>
          <w:p>
            <w:pPr/>
            <w:r>
              <w:t xml:space="preserve">Data Lead</w:t>
            </w:r>
          </w:p>
        </w:tc>
      </w:tr>
      <w:tr>
        <w:tc>
          <w:tcPr>
            <w:tcW w:w="2173" w:type="dxa"/>
          </w:tcPr>
          <w:p>
            <w:pPr/>
            <w:r>
              <w:t xml:space="preserve">Vigilancia de técnicos</w:t>
            </w:r>
          </w:p>
        </w:tc>
        <w:tc>
          <w:tcPr>
            <w:tcW w:w="4920" w:type="dxa"/>
          </w:tcPr>
          <w:p>
            <w:pPr/>
            <w:r>
              <w:t xml:space="preserve">La ubicación se usa solo para operar el despacho, nunca para evaluar desempeño (acuerdo con el gremio)</w:t>
            </w:r>
          </w:p>
        </w:tc>
        <w:tc>
          <w:tcPr>
            <w:tcW w:w="2267" w:type="dxa"/>
          </w:tcPr>
          <w:p>
            <w:pPr/>
            <w:r>
              <w:t xml:space="preserve">RR.HH.</w:t>
            </w:r>
          </w:p>
        </w:tc>
      </w:tr>
      <w:tr>
        <w:tc>
          <w:tcPr>
            <w:tcW w:w="2173" w:type="dxa"/>
          </w:tcPr>
          <w:p>
            <w:pPr/>
            <w:r>
              <w:t xml:space="preserve">Falla de un proveedor</w:t>
            </w:r>
          </w:p>
        </w:tc>
        <w:tc>
          <w:tcPr>
            <w:tcW w:w="4920" w:type="dxa"/>
          </w:tcPr>
          <w:p>
            <w:pPr/>
            <w:r>
              <w:t xml:space="preserve">Gateway multiproveedor; respaldo ML + reglas</w:t>
            </w:r>
          </w:p>
        </w:tc>
        <w:tc>
          <w:tcPr>
            <w:tcW w:w="2267" w:type="dxa"/>
          </w:tcPr>
          <w:p>
            <w:pPr/>
            <w:r>
              <w:t xml:space="preserve">PM técnico</w:t>
            </w:r>
          </w:p>
        </w:tc>
      </w:tr>
    </w:tbl>
    <w:p>
      <w:pPr>
        <w:pStyle w:val="Heading3"/>
      </w:pPr>
      <w:r>
        <w:t xml:space="preserve">Ley 25.326 y Convenio 108+</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Obligación</w:t>
            </w:r>
          </w:p>
        </w:tc>
        <w:tc>
          <w:tcPr>
            <w:tcW w:w="4920" w:type="dxa"/>
            <w:shd w:val="clear" w:color="auto" w:fill="F2F2F2"/>
          </w:tcPr>
          <w:p>
            <w:pPr/>
            <w:r>
              <w:t xml:space="preserve">Cómo se cumple</w:t>
            </w:r>
          </w:p>
        </w:tc>
      </w:tr>
      <w:tr>
        <w:tc>
          <w:tcPr>
            <w:tcW w:w="4440" w:type="dxa"/>
          </w:tcPr>
          <w:p>
            <w:pPr/>
            <w:r>
              <w:t xml:space="preserve">Base legal y consentimiento (art. 5)</w:t>
            </w:r>
          </w:p>
        </w:tc>
        <w:tc>
          <w:tcPr>
            <w:tcW w:w="4920" w:type="dxa"/>
          </w:tcPr>
          <w:p>
            <w:pPr/>
            <w:r>
              <w:t xml:space="preserve">El uso de telemetría para diagnosticar fallas se apoya en la prestación del servicio contratado; el canal de WhatsApp informa el uso de IA y pide consentimiento para fotos y para guardar la conversación</w:t>
            </w:r>
          </w:p>
        </w:tc>
      </w:tr>
      <w:tr>
        <w:tc>
          <w:tcPr>
            <w:tcW w:w="4440" w:type="dxa"/>
          </w:tcPr>
          <w:p>
            <w:pPr/>
            <w:r>
              <w:t xml:space="preserve">Deber de información (art. 6)</w:t>
            </w:r>
          </w:p>
        </w:tc>
        <w:tc>
          <w:tcPr>
            <w:tcW w:w="4920" w:type="dxa"/>
          </w:tcPr>
          <w:p>
            <w:pPr/>
            <w:r>
              <w:t xml:space="preserve">Aviso en el primer mensaje: que conversa con una IA, para qué se usan los datos y cómo pedir una persona</w:t>
            </w:r>
          </w:p>
        </w:tc>
      </w:tr>
      <w:tr>
        <w:tc>
          <w:tcPr>
            <w:tcW w:w="4440" w:type="dxa"/>
          </w:tcPr>
          <w:p>
            <w:pPr/>
            <w:r>
              <w:t xml:space="preserve">Finalidad y minimización (art. 4)</w:t>
            </w:r>
          </w:p>
        </w:tc>
        <w:tc>
          <w:tcPr>
            <w:tcW w:w="4920" w:type="dxa"/>
          </w:tcPr>
          <w:p>
            <w:pPr/>
            <w:r>
              <w:t xml:space="preserve">Datos de campo solo para resolver el reclamo; los modelos usan solo las variables del anexo C</w:t>
            </w:r>
          </w:p>
        </w:tc>
      </w:tr>
      <w:tr>
        <w:tc>
          <w:tcPr>
            <w:tcW w:w="4440" w:type="dxa"/>
          </w:tcPr>
          <w:p>
            <w:pPr/>
            <w:r>
              <w:t xml:space="preserve">Seguridad y confidencialidad (arts. 9 y 10)</w:t>
            </w:r>
          </w:p>
        </w:tc>
        <w:tc>
          <w:tcPr>
            <w:tcW w:w="4920" w:type="dxa"/>
          </w:tcPr>
          <w:p>
            <w:pPr/>
            <w:r>
              <w:t xml:space="preserve">Cifrado, control de accesos y registro inmutable (abajo)</w:t>
            </w:r>
          </w:p>
        </w:tc>
      </w:tr>
      <w:tr>
        <w:tc>
          <w:tcPr>
            <w:tcW w:w="4440" w:type="dxa"/>
          </w:tcPr>
          <w:p>
            <w:pPr/>
            <w:r>
              <w:t xml:space="preserve">Transferencia internacional (art. 12)</w:t>
            </w:r>
          </w:p>
        </w:tc>
        <w:tc>
          <w:tcPr>
            <w:tcW w:w="4920" w:type="dxa"/>
          </w:tcPr>
          <w:p>
            <w:pPr/>
            <w:r>
              <w:t xml:space="preserve">Proveedores de IA con cláusulas contractuales aprobadas por la autoridad de control; sin datos personales en el prompt</w:t>
            </w:r>
          </w:p>
        </w:tc>
      </w:tr>
      <w:tr>
        <w:tc>
          <w:tcPr>
            <w:tcW w:w="4440" w:type="dxa"/>
          </w:tcPr>
          <w:p>
            <w:pPr/>
            <w:r>
              <w:t xml:space="preserve">Acceso, rectificación y supresión (arts. 14 y 16)</w:t>
            </w:r>
          </w:p>
        </w:tc>
        <w:tc>
          <w:tcPr>
            <w:tcW w:w="4920" w:type="dxa"/>
          </w:tcPr>
          <w:p>
            <w:pPr/>
            <w:r>
              <w:t xml:space="preserve">Procedimiento único con Legales; el registro de Jev permite responder qué datos se usaron en cada decisión</w:t>
            </w:r>
          </w:p>
        </w:tc>
      </w:tr>
      <w:tr>
        <w:tc>
          <w:tcPr>
            <w:tcW w:w="4440" w:type="dxa"/>
          </w:tcPr>
          <w:p>
            <w:pPr/>
            <w:r>
              <w:t xml:space="preserve">Decisiones automatizadas (Convenio 108+, art. 9)</w:t>
            </w:r>
          </w:p>
        </w:tc>
        <w:tc>
          <w:tcPr>
            <w:tcW w:w="4920" w:type="dxa"/>
          </w:tcPr>
          <w:p>
            <w:pPr/>
            <w:r>
              <w:t xml:space="preserve">Derecho a no ser objeto de una decisión basada solo en tratamiento automatizado sin que se considere la opinión del titular, a conocer el razonamiento y a oponerse: el cliente puede pedir siempre una persona o una visita, y el registro de Jev explica cada decisión</w:t>
            </w:r>
          </w:p>
        </w:tc>
      </w:tr>
      <w:tr>
        <w:tc>
          <w:tcPr>
            <w:tcW w:w="4440" w:type="dxa"/>
          </w:tcPr>
          <w:p>
            <w:pPr/>
            <w:r>
              <w:t xml:space="preserve">Notificación de incidentes (Convenio 108+)</w:t>
            </w:r>
          </w:p>
        </w:tc>
        <w:tc>
          <w:tcPr>
            <w:tcW w:w="4920" w:type="dxa"/>
          </w:tcPr>
          <w:p>
            <w:pPr/>
            <w:r>
              <w:t xml:space="preserve">Protocolo del CISO con aviso a la autoridad de control</w:t>
            </w:r>
          </w:p>
        </w:tc>
      </w:tr>
      <w:tr>
        <w:tc>
          <w:tcPr>
            <w:tcW w:w="4440" w:type="dxa"/>
          </w:tcPr>
          <w:p>
            <w:pPr/>
            <w:r>
              <w:t xml:space="preserve">Privacidad desde el diseño y responsabilidad proactiva</w:t>
            </w:r>
          </w:p>
        </w:tc>
        <w:tc>
          <w:tcPr>
            <w:tcW w:w="4920" w:type="dxa"/>
          </w:tcPr>
          <w:p>
            <w:pPr/>
            <w:r>
              <w:t xml:space="preserve">Evaluación de impacto por caso de uso, firmada por el CISO y revisada por Legales antes de cada salida a producción</w:t>
            </w:r>
          </w:p>
        </w:tc>
      </w:tr>
    </w:tbl>
    <w:p>
      <w:pPr>
        <w:pStyle w:val="Heading3"/>
      </w:pPr>
      <w:r>
        <w:t xml:space="preserve">Política de resolución remota y compensaciones</w:t>
      </w:r>
    </w:p>
    <w:p>
      <w:pPr>
        <w:pStyle w:val="ListParagraph"/>
        <w:numPr>
          <w:ilvl w:val="0"/>
          <w:numId w:val="13"/>
        </w:numPr>
      </w:pPr>
      <w:r>
        <w:rPr>
          <w:b/>
        </w:rPr>
        <w:t xml:space="preserve">Resolución remota:</w:t>
      </w:r>
      <w:r>
        <w:t xml:space="preserve"> la IA puede guiar al cliente hasta 15 minutos; si no se resuelve, se ofrece visita sin volver a preguntar.</w:t>
      </w:r>
    </w:p>
    <w:p>
      <w:pPr>
        <w:pStyle w:val="ListParagraph"/>
        <w:numPr>
          <w:ilvl w:val="0"/>
          <w:numId w:val="13"/>
        </w:numPr>
      </w:pPr>
      <w:r>
        <w:rPr>
          <w:b/>
        </w:rPr>
        <w:t xml:space="preserve">Derecho a visita:</w:t>
      </w:r>
      <w:r>
        <w:t xml:space="preserve"> un cliente que pide técnico lo recibe, aunque la IA haya estimado resolución remota.</w:t>
      </w:r>
    </w:p>
    <w:p>
      <w:pPr>
        <w:pStyle w:val="ListParagraph"/>
        <w:numPr>
          <w:ilvl w:val="0"/>
          <w:numId w:val="13"/>
        </w:numPr>
      </w:pPr>
      <w:r>
        <w:rPr>
          <w:b/>
        </w:rPr>
        <w:t xml:space="preserve">Compensaciones:</w:t>
      </w:r>
      <w:r>
        <w:t xml:space="preserve"> las bonificaciones por falla repetida siguen la tabla vigente de Atención al Cliente. Hasta 1 mes de abono, decide el representante; por encima, el supervisor. La IA nunca promete ni otorga una compensación.</w:t>
      </w:r>
    </w:p>
    <w:p>
      <w:pPr>
        <w:pStyle w:val="ListParagraph"/>
        <w:numPr>
          <w:ilvl w:val="0"/>
          <w:numId w:val="13"/>
        </w:numPr>
      </w:pPr>
      <w:r>
        <w:rPr>
          <w:b/>
        </w:rPr>
        <w:t xml:space="preserve">Registro:</w:t>
      </w:r>
      <w:r>
        <w:t xml:space="preserve"> toda compensación queda vinculada a la orden y a la decisión de Jev.</w:t>
      </w:r>
    </w:p>
    <w:p>
      <w:pPr>
        <w:pStyle w:val="ListParagraph"/>
        <w:numPr>
          <w:ilvl w:val="0"/>
          <w:numId w:val="13"/>
        </w:numPr>
      </w:pPr>
      <w:r>
        <w:rPr>
          <w:b/>
        </w:rPr>
        <w:t xml:space="preserve">Versionado:</w:t>
      </w:r>
      <w:r>
        <w:t xml:space="preserve"> Operaciones es dueño de las reglas y Atención al Cliente de la tabla de compensaciones; cada cambio queda versionado y lo informa el comité.</w:t>
      </w:r>
    </w:p>
    <w:p>
      <w:pPr>
        <w:pStyle w:val="Heading3"/>
      </w:pPr>
      <w:r>
        <w:t xml:space="preserve">Seguridad técnica</w:t>
      </w:r>
    </w:p>
    <w:p>
      <w:pPr>
        <w:pStyle w:val="ListParagraph"/>
        <w:numPr>
          <w:ilvl w:val="0"/>
          <w:numId w:val="14"/>
        </w:numPr>
      </w:pPr>
      <w:r>
        <w:rPr>
          <w:b/>
        </w:rPr>
        <w:t xml:space="preserve">Autenticación:</w:t>
      </w:r>
      <w:r>
        <w:t xml:space="preserve"> SSO con doble factor para consolas y app del técnico; validación del cliente por número de línea más un dato del contrato.</w:t>
      </w:r>
    </w:p>
    <w:p>
      <w:pPr>
        <w:pStyle w:val="ListParagraph"/>
        <w:numPr>
          <w:ilvl w:val="0"/>
          <w:numId w:val="14"/>
        </w:numPr>
      </w:pPr>
      <w:r>
        <w:rPr>
          <w:b/>
        </w:rPr>
        <w:t xml:space="preserve">Autorización:</w:t>
      </w:r>
      <w:r>
        <w:t xml:space="preserve"> roles mínimos; los contratistas solo ven sus órdenes.</w:t>
      </w:r>
    </w:p>
    <w:p>
      <w:pPr>
        <w:pStyle w:val="ListParagraph"/>
        <w:numPr>
          <w:ilvl w:val="0"/>
          <w:numId w:val="14"/>
        </w:numPr>
      </w:pPr>
      <w:r>
        <w:rPr>
          <w:b/>
        </w:rPr>
        <w:t xml:space="preserve">Cifrado:</w:t>
      </w:r>
      <w:r>
        <w:t xml:space="preserve"> en tránsito (TLS 1.2+) y en reposo; claves gestionadas por Seguridad.</w:t>
      </w:r>
    </w:p>
    <w:p>
      <w:pPr>
        <w:pStyle w:val="ListParagraph"/>
        <w:numPr>
          <w:ilvl w:val="0"/>
          <w:numId w:val="14"/>
        </w:numPr>
      </w:pPr>
      <w:r>
        <w:rPr>
          <w:b/>
        </w:rPr>
        <w:t xml:space="preserve">DLP:</w:t>
      </w:r>
      <w:r>
        <w:t xml:space="preserve"> filtros sobre salidas del gateway y del copiloto para bloquear PII y datos de red sensibles.</w:t>
      </w:r>
    </w:p>
    <w:p>
      <w:pPr>
        <w:pStyle w:val="ListParagraph"/>
        <w:numPr>
          <w:ilvl w:val="0"/>
          <w:numId w:val="14"/>
        </w:numPr>
      </w:pPr>
      <w:r>
        <w:rPr>
          <w:b/>
        </w:rPr>
        <w:t xml:space="preserve">Pruebas:</w:t>
      </w:r>
      <w:r>
        <w:t xml:space="preserve"> red teaming del agente antes del gate de Q1 y antes de cada nueva capacidad.</w:t>
      </w:r>
    </w:p>
    <w:p>
      <w:pPr>
        <w:pStyle w:val="Heading2"/>
      </w:pPr>
      <w:r>
        <w:t xml:space="preserve">Anexo F · Personas, contratistas y cambio</w:t>
      </w:r>
    </w:p>
    <w:p>
      <w:pPr/>
      <w:r>
        <w:t xml:space="preserve">No hay despidos en la planta propia. Las 312.500 visitas liberadas por año se absorben bajando el volumen facturado por contratistas. El técnico trabaja aumentado (briefing, copiloto, dictado), aparecen dos roles nuevos y el acuerdo con el gremio se firma en Q1: la IA no evalúa desempeño individual.</w:t>
      </w:r>
    </w:p>
    <w:p>
      <w:pPr>
        <w:pStyle w:val="Heading3"/>
      </w:pPr>
      <w:r>
        <w:t xml:space="preserve">Impacto por grupo</w:t>
      </w:r>
    </w:p>
    <w:tbl>
      <w:tblPr>
        <w:tblStyle w:val="TableGrid"/>
        <w:tblW w:w="0" w:type="auto"/>
        <w:tblLayout w:type="fixed"/>
        <w:tblLook w:val="04A0" w:firstRow="1" w:lastRow="0" w:firstColumn="0" w:lastColumn="0" w:noHBand="0" w:noVBand="1"/>
      </w:tblPr>
      <w:tblGrid>
        <w:gridCol w:w="1780"/>
        <w:gridCol w:w="2981"/>
        <w:gridCol w:w="2342"/>
        <w:gridCol w:w="2257"/>
      </w:tblGrid>
      <w:tr>
        <w:trPr>
          <w:tblHeader/>
        </w:trPr>
        <w:tc>
          <w:tcPr>
            <w:tcW w:w="1780" w:type="dxa"/>
            <w:shd w:val="clear" w:color="auto" w:fill="F2F2F2"/>
          </w:tcPr>
          <w:p>
            <w:pPr/>
            <w:r>
              <w:t xml:space="preserve">Grupo</w:t>
            </w:r>
          </w:p>
        </w:tc>
        <w:tc>
          <w:tcPr>
            <w:tcW w:w="2981" w:type="dxa"/>
            <w:shd w:val="clear" w:color="auto" w:fill="F2F2F2"/>
          </w:tcPr>
          <w:p>
            <w:pPr/>
            <w:r>
              <w:t xml:space="preserve">Qué cambia</w:t>
            </w:r>
          </w:p>
        </w:tc>
        <w:tc>
          <w:tcPr>
            <w:tcW w:w="2342" w:type="dxa"/>
            <w:shd w:val="clear" w:color="auto" w:fill="F2F2F2"/>
          </w:tcPr>
          <w:p>
            <w:pPr/>
            <w:r>
              <w:t xml:space="preserve">Qué no cambia</w:t>
            </w:r>
          </w:p>
        </w:tc>
        <w:tc>
          <w:tcPr>
            <w:tcW w:w="2257" w:type="dxa"/>
            <w:shd w:val="clear" w:color="auto" w:fill="F2F2F2"/>
          </w:tcPr>
          <w:p>
            <w:pPr/>
            <w:r>
              <w:t xml:space="preserve">Cómo se acompaña</w:t>
            </w:r>
          </w:p>
        </w:tc>
      </w:tr>
      <w:tr>
        <w:tc>
          <w:tcPr>
            <w:tcW w:w="1780" w:type="dxa"/>
          </w:tcPr>
          <w:p>
            <w:pPr/>
            <w:r>
              <w:t xml:space="preserve">Técnicos propios</w:t>
            </w:r>
          </w:p>
        </w:tc>
        <w:tc>
          <w:tcPr>
            <w:tcW w:w="2981" w:type="dxa"/>
          </w:tcPr>
          <w:p>
            <w:pPr/>
            <w:r>
              <w:t xml:space="preserve">Briefing antes de cada orden, copiloto por voz, cierre por dictado (papeleo de 60 a 35 min/día)</w:t>
            </w:r>
          </w:p>
        </w:tc>
        <w:tc>
          <w:tcPr>
            <w:tcW w:w="2342" w:type="dxa"/>
          </w:tcPr>
          <w:p>
            <w:pPr/>
            <w:r>
              <w:t xml:space="preserve">Empleo, salario, convenio; la decisión técnica en el domicilio</w:t>
            </w:r>
          </w:p>
        </w:tc>
        <w:tc>
          <w:tcPr>
            <w:tcW w:w="2257" w:type="dxa"/>
          </w:tcPr>
          <w:p>
            <w:pPr/>
            <w:r>
              <w:t xml:space="preserve">Academia IA, champions por zona, acuerdo con el gremio</w:t>
            </w:r>
          </w:p>
        </w:tc>
      </w:tr>
      <w:tr>
        <w:tc>
          <w:tcPr>
            <w:tcW w:w="1780" w:type="dxa"/>
          </w:tcPr>
          <w:p>
            <w:pPr/>
            <w:r>
              <w:t xml:space="preserve">Despachadores</w:t>
            </w:r>
          </w:p>
        </w:tc>
        <w:tc>
          <w:tcPr>
            <w:tcW w:w="2981" w:type="dxa"/>
          </w:tcPr>
          <w:p>
            <w:pPr/>
            <w:r>
              <w:t xml:space="preserve">Pasan de asignar a mano a supervisar las propuestas de la IA</w:t>
            </w:r>
          </w:p>
        </w:tc>
        <w:tc>
          <w:tcPr>
            <w:tcW w:w="2342" w:type="dxa"/>
          </w:tcPr>
          <w:p>
            <w:pPr/>
            <w:r>
              <w:t xml:space="preserve">Deciden el despacho (anexo D)</w:t>
            </w:r>
          </w:p>
        </w:tc>
        <w:tc>
          <w:tcPr>
            <w:tcW w:w="2257" w:type="dxa"/>
          </w:tcPr>
          <w:p>
            <w:pPr/>
            <w:r>
              <w:t xml:space="preserve">Rol nuevo de despachador supervisor, formación en Q2</w:t>
            </w:r>
          </w:p>
        </w:tc>
      </w:tr>
      <w:tr>
        <w:tc>
          <w:tcPr>
            <w:tcW w:w="1780" w:type="dxa"/>
          </w:tcPr>
          <w:p>
            <w:pPr/>
            <w:r>
              <w:t xml:space="preserve">Contratistas</w:t>
            </w:r>
          </w:p>
        </w:tc>
        <w:tc>
          <w:tcPr>
            <w:tcW w:w="2981" w:type="dxa"/>
          </w:tcPr>
          <w:p>
            <w:pPr/>
            <w:r>
              <w:t xml:space="preserve">Menos visitas facturadas; transición a pago por orden resuelta</w:t>
            </w:r>
          </w:p>
        </w:tc>
        <w:tc>
          <w:tcPr>
            <w:tcW w:w="2342" w:type="dxa"/>
          </w:tcPr>
          <w:p>
            <w:pPr/>
            <w:r>
              <w:t xml:space="preserve">Acceso a la app y al copiloto desde 2028</w:t>
            </w:r>
          </w:p>
        </w:tc>
        <w:tc>
          <w:tcPr>
            <w:tcW w:w="2257" w:type="dxa"/>
          </w:tcPr>
          <w:p>
            <w:pPr/>
            <w:r>
              <w:t xml:space="preserve">Plan de transición con aviso de 6 meses</w:t>
            </w:r>
          </w:p>
        </w:tc>
      </w:tr>
      <w:tr>
        <w:tc>
          <w:tcPr>
            <w:tcW w:w="1780" w:type="dxa"/>
          </w:tcPr>
          <w:p>
            <w:pPr/>
            <w:r>
              <w:t xml:space="preserve">Atención al Cliente</w:t>
            </w:r>
          </w:p>
        </w:tc>
        <w:tc>
          <w:tcPr>
            <w:tcW w:w="2981" w:type="dxa"/>
          </w:tcPr>
          <w:p>
            <w:pPr/>
            <w:r>
              <w:t xml:space="preserve">Menos reclamos repetidos; el triage resuelve parte de los casos</w:t>
            </w:r>
          </w:p>
        </w:tc>
        <w:tc>
          <w:tcPr>
            <w:tcW w:w="2342" w:type="dxa"/>
          </w:tcPr>
          <w:p>
            <w:pPr/>
            <w:r>
              <w:t xml:space="preserve">Deciden compensaciones y toman los casos derivados</w:t>
            </w:r>
          </w:p>
        </w:tc>
        <w:tc>
          <w:tcPr>
            <w:tcW w:w="2257" w:type="dxa"/>
          </w:tcPr>
          <w:p>
            <w:pPr/>
            <w:r>
              <w:t xml:space="preserve">Formación en lectura del registro de Jev</w:t>
            </w:r>
          </w:p>
        </w:tc>
      </w:tr>
      <w:tr>
        <w:tc>
          <w:tcPr>
            <w:tcW w:w="1780" w:type="dxa"/>
          </w:tcPr>
          <w:p>
            <w:pPr/>
            <w:r>
              <w:t xml:space="preserve">Supervisores de zona</w:t>
            </w:r>
          </w:p>
        </w:tc>
        <w:tc>
          <w:tcPr>
            <w:tcW w:w="2981" w:type="dxa"/>
          </w:tcPr>
          <w:p>
            <w:pPr/>
            <w:r>
              <w:t xml:space="preserve">Deciden los casos de reclamo repetido</w:t>
            </w:r>
          </w:p>
        </w:tc>
        <w:tc>
          <w:tcPr>
            <w:tcW w:w="2342" w:type="dxa"/>
          </w:tcPr>
          <w:p>
            <w:pPr/>
            <w:r>
              <w:t xml:space="preserve">Gestión de su equipo sin datos individuales de la IA</w:t>
            </w:r>
          </w:p>
        </w:tc>
        <w:tc>
          <w:tcPr>
            <w:tcW w:w="2257" w:type="dxa"/>
          </w:tcPr>
          <w:p>
            <w:pPr/>
            <w:r>
              <w:t xml:space="preserve">Tablero por zona, no por persona</w:t>
            </w:r>
          </w:p>
        </w:tc>
      </w:tr>
    </w:tbl>
    <w:p>
      <w:pPr>
        <w:pStyle w:val="Heading3"/>
      </w:pPr>
      <w:r>
        <w:t xml:space="preserve">Acuerdo con el gremio (Q1)</w:t>
      </w:r>
    </w:p>
    <w:p>
      <w:pPr/>
      <w:r>
        <w:t xml:space="preserve">Mesa abierta en diciembre 2026, firma antes del gate de Q1.</w:t>
      </w:r>
    </w:p>
    <w:p>
      <w:pPr>
        <w:pStyle w:val="ListParagraph"/>
        <w:numPr>
          <w:ilvl w:val="0"/>
          <w:numId w:val="15"/>
        </w:numPr>
      </w:pPr>
      <w:r>
        <w:t xml:space="preserve">Sin despidos por la implementación de IA en la planta propia.</w:t>
      </w:r>
    </w:p>
    <w:p>
      <w:pPr>
        <w:pStyle w:val="ListParagraph"/>
        <w:numPr>
          <w:ilvl w:val="0"/>
          <w:numId w:val="15"/>
        </w:numPr>
      </w:pPr>
      <w:r>
        <w:t xml:space="preserve">La IA no se usa para evaluar, sancionar ni rankear técnicos individualmente.</w:t>
      </w:r>
    </w:p>
    <w:p>
      <w:pPr>
        <w:pStyle w:val="ListParagraph"/>
        <w:numPr>
          <w:ilvl w:val="0"/>
          <w:numId w:val="15"/>
        </w:numPr>
      </w:pPr>
      <w:r>
        <w:t xml:space="preserve">La ubicación se usa solo para operar el despacho.</w:t>
      </w:r>
    </w:p>
    <w:p>
      <w:pPr>
        <w:pStyle w:val="ListParagraph"/>
        <w:numPr>
          <w:ilvl w:val="0"/>
          <w:numId w:val="15"/>
        </w:numPr>
      </w:pPr>
      <w:r>
        <w:t xml:space="preserve">El técnico puede apartarse de la sugerencia del copiloto sin justificación previa; el desvío se registra para mejorar el modelo, no para evaluarlo.</w:t>
      </w:r>
    </w:p>
    <w:p>
      <w:pPr>
        <w:pStyle w:val="ListParagraph"/>
        <w:numPr>
          <w:ilvl w:val="0"/>
          <w:numId w:val="15"/>
        </w:numPr>
      </w:pPr>
      <w:r>
        <w:t xml:space="preserve">Formación en horario laboral y acceso prioritario de técnicos propios a los roles nuevos.</w:t>
      </w:r>
    </w:p>
    <w:p>
      <w:pPr>
        <w:pStyle w:val="ListParagraph"/>
        <w:numPr>
          <w:ilvl w:val="0"/>
          <w:numId w:val="15"/>
        </w:numPr>
      </w:pPr>
      <w:r>
        <w:t xml:space="preserve">Revisión semestral del acuerdo en una comisión mixta.</w:t>
      </w:r>
    </w:p>
    <w:p>
      <w:pPr>
        <w:pStyle w:val="Heading3"/>
      </w:pPr>
      <w:r>
        <w:t xml:space="preserve">Plan de transición de contratistas</w:t>
      </w:r>
    </w:p>
    <w:tbl>
      <w:tblPr>
        <w:tblStyle w:val="TableGrid"/>
        <w:tblW w:w="0" w:type="auto"/>
        <w:tblLayout w:type="fixed"/>
        <w:tblLook w:val="04A0" w:firstRow="1" w:lastRow="0" w:firstColumn="0" w:lastColumn="0" w:noHBand="0" w:noVBand="1"/>
      </w:tblPr>
      <w:tblGrid>
        <w:gridCol w:w="1272"/>
        <w:gridCol w:w="4920"/>
        <w:gridCol w:w="3168"/>
      </w:tblGrid>
      <w:tr>
        <w:trPr>
          <w:tblHeader/>
        </w:trPr>
        <w:tc>
          <w:tcPr>
            <w:tcW w:w="1272" w:type="dxa"/>
            <w:shd w:val="clear" w:color="auto" w:fill="F2F2F2"/>
          </w:tcPr>
          <w:p>
            <w:pPr/>
            <w:r>
              <w:t xml:space="preserve">Trimestre</w:t>
            </w:r>
          </w:p>
        </w:tc>
        <w:tc>
          <w:tcPr>
            <w:tcW w:w="4920" w:type="dxa"/>
            <w:shd w:val="clear" w:color="auto" w:fill="F2F2F2"/>
          </w:tcPr>
          <w:p>
            <w:pPr/>
            <w:r>
              <w:t xml:space="preserve">Acción</w:t>
            </w:r>
          </w:p>
        </w:tc>
        <w:tc>
          <w:tcPr>
            <w:tcW w:w="3168" w:type="dxa"/>
            <w:shd w:val="clear" w:color="auto" w:fill="F2F2F2"/>
          </w:tcPr>
          <w:p>
            <w:pPr/>
            <w:r>
              <w:t xml:space="preserve">Meta</w:t>
            </w:r>
          </w:p>
        </w:tc>
      </w:tr>
      <w:tr>
        <w:tc>
          <w:tcPr>
            <w:tcW w:w="1272" w:type="dxa"/>
          </w:tcPr>
          <w:p>
            <w:pPr/>
            <w:r>
              <w:t xml:space="preserve">Q1</w:t>
            </w:r>
          </w:p>
        </w:tc>
        <w:tc>
          <w:tcPr>
            <w:tcW w:w="4920" w:type="dxa"/>
          </w:tcPr>
          <w:p>
            <w:pPr/>
            <w:r>
              <w:t xml:space="preserve">Comunicar el plan a las empresas contratistas; sin cambios contractuales</w:t>
            </w:r>
          </w:p>
        </w:tc>
        <w:tc>
          <w:tcPr>
            <w:tcW w:w="3168" w:type="dxa"/>
          </w:tcPr>
          <w:p>
            <w:pPr/>
            <w:r>
              <w:t xml:space="preserve">Sin conflicto abierto</w:t>
            </w:r>
          </w:p>
        </w:tc>
      </w:tr>
      <w:tr>
        <w:tc>
          <w:tcPr>
            <w:tcW w:w="1272" w:type="dxa"/>
          </w:tcPr>
          <w:p>
            <w:pPr/>
            <w:r>
              <w:t xml:space="preserve">Q2</w:t>
            </w:r>
          </w:p>
        </w:tc>
        <w:tc>
          <w:tcPr>
            <w:tcW w:w="4920" w:type="dxa"/>
          </w:tcPr>
          <w:p>
            <w:pPr/>
            <w:r>
              <w:t xml:space="preserve">Medir costo y calidad por contratista contra el grupo de control</w:t>
            </w:r>
          </w:p>
        </w:tc>
        <w:tc>
          <w:tcPr>
            <w:tcW w:w="3168" w:type="dxa"/>
          </w:tcPr>
          <w:p>
            <w:pPr/>
            <w:r>
              <w:t xml:space="preserve">Línea de base por empresa</w:t>
            </w:r>
          </w:p>
        </w:tc>
      </w:tr>
      <w:tr>
        <w:tc>
          <w:tcPr>
            <w:tcW w:w="1272" w:type="dxa"/>
          </w:tcPr>
          <w:p>
            <w:pPr/>
            <w:r>
              <w:t xml:space="preserve">Q3</w:t>
            </w:r>
          </w:p>
        </w:tc>
        <w:tc>
          <w:tcPr>
            <w:tcW w:w="4920" w:type="dxa"/>
          </w:tcPr>
          <w:p>
            <w:pPr/>
            <w:r>
              <w:t xml:space="preserve">Diseñar el contrato por orden resuelta: pago por orden cerrada sin revisita a 30 días + bonificación por first-time fix de la empresa</w:t>
            </w:r>
          </w:p>
        </w:tc>
        <w:tc>
          <w:tcPr>
            <w:tcW w:w="3168" w:type="dxa"/>
          </w:tcPr>
          <w:p>
            <w:pPr/>
            <w:r>
              <w:t xml:space="preserve">Borrador validado con Compras y Legales</w:t>
            </w:r>
          </w:p>
        </w:tc>
      </w:tr>
      <w:tr>
        <w:tc>
          <w:tcPr>
            <w:tcW w:w="1272" w:type="dxa"/>
          </w:tcPr>
          <w:p>
            <w:pPr/>
            <w:r>
              <w:t xml:space="preserve">Q4</w:t>
            </w:r>
          </w:p>
        </w:tc>
        <w:tc>
          <w:tcPr>
            <w:tcW w:w="4920" w:type="dxa"/>
          </w:tcPr>
          <w:p>
            <w:pPr/>
            <w:r>
              <w:t xml:space="preserve">Negociar con aviso de 6 meses; cláusula de transición acordada</w:t>
            </w:r>
          </w:p>
        </w:tc>
        <w:tc>
          <w:tcPr>
            <w:tcW w:w="3168" w:type="dxa"/>
          </w:tcPr>
          <w:p>
            <w:pPr/>
            <w:r>
              <w:t xml:space="preserve">Contratos firmados, vigentes desde mediados de 2028</w:t>
            </w:r>
          </w:p>
        </w:tc>
      </w:tr>
      <w:tr>
        <w:tc>
          <w:tcPr>
            <w:tcW w:w="1272" w:type="dxa"/>
          </w:tcPr>
          <w:p>
            <w:pPr/>
            <w:r>
              <w:t xml:space="preserve">2028</w:t>
            </w:r>
          </w:p>
        </w:tc>
        <w:tc>
          <w:tcPr>
            <w:tcW w:w="4920" w:type="dxa"/>
          </w:tcPr>
          <w:p>
            <w:pPr/>
            <w:r>
              <w:t xml:space="preserve">Contratistas en la app con briefing y copiloto</w:t>
            </w:r>
          </w:p>
        </w:tc>
        <w:tc>
          <w:tcPr>
            <w:tcW w:w="3168" w:type="dxa"/>
          </w:tcPr>
          <w:p>
            <w:pPr/>
            <w:r>
              <w:t xml:space="preserve">Mismo first-time fix que la planta propia</w:t>
            </w:r>
          </w:p>
        </w:tc>
      </w:tr>
    </w:tbl>
    <w:p>
      <w:pPr/>
      <w:r>
        <w:t xml:space="preserve">La baja es de volumen facturado, no de cabezas propias. Para las empresas contratistas, el contrato por resultado premia la calidad y compensa en parte el menor volumen.</w:t>
      </w:r>
    </w:p>
    <w:p>
      <w:pPr>
        <w:pStyle w:val="Heading3"/>
      </w:pPr>
      <w:r>
        <w:t xml:space="preserve">Roles nuevos</w:t>
      </w:r>
    </w:p>
    <w:p>
      <w:pPr/>
      <w:r>
        <w:rPr>
          <w:b/>
        </w:rPr>
        <w:t xml:space="preserve">Curador de conocimiento.</w:t>
      </w:r>
      <w:r>
        <w:t xml:space="preserve"> Técnico senior de la dotación de red y supervisión, uno cada 100 técnicos de domicilio (10 en total), para no restar visitas a la planta propia.</w:t>
      </w:r>
    </w:p>
    <w:p>
      <w:pPr>
        <w:pStyle w:val="ListParagraph"/>
        <w:numPr>
          <w:ilvl w:val="0"/>
          <w:numId w:val="16"/>
        </w:numPr>
      </w:pPr>
      <w:r>
        <w:rPr>
          <w:b/>
        </w:rPr>
        <w:t xml:space="preserve">Misión:</w:t>
      </w:r>
      <w:r>
        <w:t xml:space="preserve"> que el copiloto y la guía remota respondan con el saber real de la calle.</w:t>
      </w:r>
    </w:p>
    <w:p>
      <w:pPr>
        <w:pStyle w:val="ListParagraph"/>
        <w:numPr>
          <w:ilvl w:val="0"/>
          <w:numId w:val="16"/>
        </w:numPr>
      </w:pPr>
      <w:r>
        <w:rPr>
          <w:b/>
        </w:rPr>
        <w:t xml:space="preserve">Responsabilidades:</w:t>
      </w:r>
      <w:r>
        <w:t xml:space="preserve"> revisar semanalmente una muestra de respuestas del copiloto y del triage; corregir y aprobar procedimientos; incorporar fallas nuevas a la base de conocimiento; etiquetar fotos para el modelo de visión; reportar errores recurrentes al comité.</w:t>
      </w:r>
    </w:p>
    <w:p>
      <w:pPr>
        <w:pStyle w:val="ListParagraph"/>
        <w:numPr>
          <w:ilvl w:val="0"/>
          <w:numId w:val="16"/>
        </w:numPr>
      </w:pPr>
      <w:r>
        <w:rPr>
          <w:b/>
        </w:rPr>
        <w:t xml:space="preserve">Perfil:</w:t>
      </w:r>
      <w:r>
        <w:t xml:space="preserve"> 5 o más años en campo, dominio de fibra y TV, buena escritura; formación de 6 semanas en la Academia IA.</w:t>
      </w:r>
    </w:p>
    <w:p>
      <w:pPr>
        <w:pStyle w:val="ListParagraph"/>
        <w:numPr>
          <w:ilvl w:val="0"/>
          <w:numId w:val="16"/>
        </w:numPr>
      </w:pPr>
      <w:r>
        <w:rPr>
          <w:b/>
        </w:rPr>
        <w:t xml:space="preserve">Indicadores:</w:t>
      </w:r>
      <w:r>
        <w:t xml:space="preserve"> tasa de respuestas corregidas, tiempo de actualización de procedimientos, first-time fix de las órdenes que usaron el copiloto.</w:t>
      </w:r>
    </w:p>
    <w:p>
      <w:pPr/>
      <w:r>
        <w:rPr>
          <w:b/>
        </w:rPr>
        <w:t xml:space="preserve">Despachador supervisor de la IA.</w:t>
      </w:r>
      <w:r>
        <w:t xml:space="preserve"> Aprueba o corrige las propuestas de despacho, gestiona excepciones y alimenta las reglas de Operaciones.</w:t>
      </w:r>
    </w:p>
    <w:p>
      <w:pPr>
        <w:pStyle w:val="Heading3"/>
      </w:pPr>
      <w:r>
        <w:t xml:space="preserve">Gestión del cambio</w:t>
      </w:r>
    </w:p>
    <w:tbl>
      <w:tblPr>
        <w:tblStyle w:val="TableGrid"/>
        <w:tblW w:w="0" w:type="auto"/>
        <w:tblLayout w:type="fixed"/>
        <w:tblLook w:val="04A0" w:firstRow="1" w:lastRow="0" w:firstColumn="0" w:lastColumn="0" w:noHBand="0" w:noVBand="1"/>
      </w:tblPr>
      <w:tblGrid>
        <w:gridCol w:w="1872"/>
        <w:gridCol w:w="2090"/>
        <w:gridCol w:w="2247"/>
        <w:gridCol w:w="1687"/>
        <w:gridCol w:w="1464"/>
      </w:tblGrid>
      <w:tr>
        <w:trPr>
          <w:tblHeader/>
        </w:trPr>
        <w:tc>
          <w:tcPr>
            <w:tcW w:w="1872" w:type="dxa"/>
            <w:shd w:val="clear" w:color="auto" w:fill="F2F2F2"/>
          </w:tcPr>
          <w:p>
            <w:pPr/>
            <w:r>
              <w:t xml:space="preserve">Frente</w:t>
            </w:r>
          </w:p>
        </w:tc>
        <w:tc>
          <w:tcPr>
            <w:tcW w:w="2090" w:type="dxa"/>
            <w:shd w:val="clear" w:color="auto" w:fill="F2F2F2"/>
          </w:tcPr>
          <w:p>
            <w:pPr/>
            <w:r>
              <w:t xml:space="preserve">Q1</w:t>
            </w:r>
          </w:p>
        </w:tc>
        <w:tc>
          <w:tcPr>
            <w:tcW w:w="2247" w:type="dxa"/>
            <w:shd w:val="clear" w:color="auto" w:fill="F2F2F2"/>
          </w:tcPr>
          <w:p>
            <w:pPr/>
            <w:r>
              <w:t xml:space="preserve">Q2</w:t>
            </w:r>
          </w:p>
        </w:tc>
        <w:tc>
          <w:tcPr>
            <w:tcW w:w="1687" w:type="dxa"/>
            <w:shd w:val="clear" w:color="auto" w:fill="F2F2F2"/>
          </w:tcPr>
          <w:p>
            <w:pPr/>
            <w:r>
              <w:t xml:space="preserve">Q3</w:t>
            </w:r>
          </w:p>
        </w:tc>
        <w:tc>
          <w:tcPr>
            <w:tcW w:w="1464" w:type="dxa"/>
            <w:shd w:val="clear" w:color="auto" w:fill="F2F2F2"/>
          </w:tcPr>
          <w:p>
            <w:pPr/>
            <w:r>
              <w:t xml:space="preserve">Q4</w:t>
            </w:r>
          </w:p>
        </w:tc>
      </w:tr>
      <w:tr>
        <w:tc>
          <w:tcPr>
            <w:tcW w:w="1872" w:type="dxa"/>
          </w:tcPr>
          <w:p>
            <w:pPr/>
            <w:r>
              <w:t xml:space="preserve">Comunicación</w:t>
            </w:r>
          </w:p>
        </w:tc>
        <w:tc>
          <w:tcPr>
            <w:tcW w:w="2090" w:type="dxa"/>
          </w:tcPr>
          <w:p>
            <w:pPr/>
            <w:r>
              <w:t xml:space="preserve">Lanzamiento interno del CEO y el COO; reunión por zona; preguntas frecuentes</w:t>
            </w:r>
          </w:p>
        </w:tc>
        <w:tc>
          <w:tcPr>
            <w:tcW w:w="2247" w:type="dxa"/>
          </w:tcPr>
          <w:p>
            <w:pPr/>
            <w:r>
              <w:t xml:space="preserve">Resultados del piloto y del gate, contra grupo de control</w:t>
            </w:r>
          </w:p>
        </w:tc>
        <w:tc>
          <w:tcPr>
            <w:tcW w:w="1687" w:type="dxa"/>
          </w:tcPr>
          <w:p>
            <w:pPr/>
            <w:r>
              <w:t xml:space="preserve">Historias de técnicos en cada zona</w:t>
            </w:r>
          </w:p>
        </w:tc>
        <w:tc>
          <w:tcPr>
            <w:tcW w:w="1464" w:type="dxa"/>
          </w:tcPr>
          <w:p>
            <w:pPr/>
            <w:r>
              <w:t xml:space="preserve">Balance del año y plan 2028</w:t>
            </w:r>
          </w:p>
        </w:tc>
      </w:tr>
      <w:tr>
        <w:tc>
          <w:tcPr>
            <w:tcW w:w="1872" w:type="dxa"/>
          </w:tcPr>
          <w:p>
            <w:pPr/>
            <w:r>
              <w:t xml:space="preserve">Formación (Academia IA)</w:t>
            </w:r>
          </w:p>
        </w:tc>
        <w:tc>
          <w:tcPr>
            <w:tcW w:w="2090" w:type="dxa"/>
          </w:tcPr>
          <w:p>
            <w:pPr/>
            <w:r>
              <w:t xml:space="preserve">IA básica para mandos; política de uso de IA generativa para toda la empresa</w:t>
            </w:r>
          </w:p>
        </w:tc>
        <w:tc>
          <w:tcPr>
            <w:tcW w:w="2247" w:type="dxa"/>
          </w:tcPr>
          <w:p>
            <w:pPr/>
            <w:r>
              <w:t xml:space="preserve">20% de técnicos en copiloto; despachadores en supervisión</w:t>
            </w:r>
          </w:p>
        </w:tc>
        <w:tc>
          <w:tcPr>
            <w:tcW w:w="1687" w:type="dxa"/>
          </w:tcPr>
          <w:p>
            <w:pPr/>
            <w:r>
              <w:t xml:space="preserve">60% de técnicos; curadores formados</w:t>
            </w:r>
          </w:p>
        </w:tc>
        <w:tc>
          <w:tcPr>
            <w:tcW w:w="1464" w:type="dxa"/>
          </w:tcPr>
          <w:p>
            <w:pPr/>
            <w:r>
              <w:t xml:space="preserve">100% de la planta propia; plan para contratistas</w:t>
            </w:r>
          </w:p>
        </w:tc>
      </w:tr>
      <w:tr>
        <w:tc>
          <w:tcPr>
            <w:tcW w:w="1872" w:type="dxa"/>
          </w:tcPr>
          <w:p>
            <w:pPr/>
            <w:r>
              <w:t xml:space="preserve">Red de champions</w:t>
            </w:r>
          </w:p>
        </w:tc>
        <w:tc>
          <w:tcPr>
            <w:tcW w:w="2090" w:type="dxa"/>
          </w:tcPr>
          <w:p>
            <w:pPr/>
            <w:r>
              <w:t xml:space="preserve">Un champion por zona elegido entre técnicos</w:t>
            </w:r>
          </w:p>
        </w:tc>
        <w:tc>
          <w:tcPr>
            <w:tcW w:w="2247" w:type="dxa"/>
          </w:tcPr>
          <w:p>
            <w:pPr/>
            <w:r>
              <w:t xml:space="preserve">Champions prueban el copiloto antes que nadie</w:t>
            </w:r>
          </w:p>
        </w:tc>
        <w:tc>
          <w:tcPr>
            <w:tcW w:w="1687" w:type="dxa"/>
          </w:tcPr>
          <w:p>
            <w:pPr/>
            <w:r>
              <w:t xml:space="preserve">Champions forman a su zona</w:t>
            </w:r>
          </w:p>
        </w:tc>
        <w:tc>
          <w:tcPr>
            <w:tcW w:w="1464" w:type="dxa"/>
          </w:tcPr>
          <w:p>
            <w:pPr/>
            <w:r>
              <w:t xml:space="preserve">Champions proponen la fase 2</w:t>
            </w:r>
          </w:p>
        </w:tc>
      </w:tr>
      <w:tr>
        <w:tc>
          <w:tcPr>
            <w:tcW w:w="1872" w:type="dxa"/>
          </w:tcPr>
          <w:p>
            <w:pPr/>
            <w:r>
              <w:t xml:space="preserve">Experimentación</w:t>
            </w:r>
          </w:p>
        </w:tc>
        <w:tc>
          <w:tcPr>
            <w:tcW w:w="2090" w:type="dxa"/>
          </w:tcPr>
          <w:p>
            <w:pPr/>
            <w:r>
              <w:t xml:space="preserve">Canal para que técnicos propongan mejoras al copiloto</w:t>
            </w:r>
          </w:p>
        </w:tc>
        <w:tc>
          <w:tcPr>
            <w:tcW w:w="2247" w:type="dxa"/>
          </w:tcPr>
          <w:p>
            <w:pPr/>
            <w:r>
              <w:t xml:space="preserve">Revisión quincenal de propuestas; las adoptadas se reconocen públicamente</w:t>
            </w:r>
          </w:p>
        </w:tc>
        <w:tc>
          <w:tcPr>
            <w:tcW w:w="1687" w:type="dxa"/>
          </w:tcPr>
          <w:p>
            <w:pPr/>
            <w:r>
              <w:t xml:space="preserve">Hackatón con técnicos, curadores y equipo de datos</w:t>
            </w:r>
          </w:p>
        </w:tc>
        <w:tc>
          <w:tcPr>
            <w:tcW w:w="1464" w:type="dxa"/>
          </w:tcPr>
          <w:p>
            <w:pPr/>
            <w:r>
              <w:t xml:space="preserve">Premio anual a la mejor mejora de campo</w:t>
            </w:r>
          </w:p>
        </w:tc>
      </w:tr>
      <w:tr>
        <w:tc>
          <w:tcPr>
            <w:tcW w:w="1872" w:type="dxa"/>
          </w:tcPr>
          <w:p>
            <w:pPr/>
            <w:r>
              <w:t xml:space="preserve">Incentivos</w:t>
            </w:r>
          </w:p>
        </w:tc>
        <w:tc>
          <w:tcPr>
            <w:tcW w:w="2090" w:type="dxa"/>
          </w:tcPr>
          <w:p>
            <w:pPr/>
            <w:r>
              <w:t xml:space="preserve">—</w:t>
            </w:r>
          </w:p>
        </w:tc>
        <w:tc>
          <w:tcPr>
            <w:tcW w:w="2247" w:type="dxa"/>
          </w:tcPr>
          <w:p>
            <w:pPr/>
            <w:r>
              <w:t xml:space="preserve">Reconocimiento por zona (nunca individual)</w:t>
            </w:r>
          </w:p>
        </w:tc>
        <w:tc>
          <w:tcPr>
            <w:tcW w:w="1687" w:type="dxa"/>
          </w:tcPr>
          <w:p>
            <w:pPr/>
            <w:r>
              <w:t xml:space="preserve">Bono por first-time fix de zona</w:t>
            </w:r>
          </w:p>
        </w:tc>
        <w:tc>
          <w:tcPr>
            <w:tcW w:w="1464" w:type="dxa"/>
          </w:tcPr>
          <w:p>
            <w:pPr/>
            <w:r>
              <w:t xml:space="preserve">Incorporado a objetivos 2028</w:t>
            </w:r>
          </w:p>
        </w:tc>
      </w:tr>
      <w:tr>
        <w:tc>
          <w:tcPr>
            <w:tcW w:w="1872" w:type="dxa"/>
          </w:tcPr>
          <w:p>
            <w:pPr/>
            <w:r>
              <w:t xml:space="preserve">Resistencia</w:t>
            </w:r>
          </w:p>
        </w:tc>
        <w:tc>
          <w:tcPr>
            <w:tcW w:w="2090" w:type="dxa"/>
          </w:tcPr>
          <w:p>
            <w:pPr/>
            <w:r>
              <w:t xml:space="preserve">Mapa de preocupaciones por grupo</w:t>
            </w:r>
          </w:p>
        </w:tc>
        <w:tc>
          <w:tcPr>
            <w:tcW w:w="2247" w:type="dxa"/>
          </w:tcPr>
          <w:p>
            <w:pPr/>
            <w:r>
              <w:t xml:space="preserve">Pulso mensual de adopción y clima</w:t>
            </w:r>
          </w:p>
        </w:tc>
        <w:tc>
          <w:tcPr>
            <w:tcW w:w="1687" w:type="dxa"/>
          </w:tcPr>
          <w:p>
            <w:pPr/>
            <w:r>
              <w:t xml:space="preserve">Atención dedicada a zonas con baja adopción</w:t>
            </w:r>
          </w:p>
        </w:tc>
        <w:tc>
          <w:tcPr>
            <w:tcW w:w="1464" w:type="dxa"/>
          </w:tcPr>
          <w:p>
            <w:pPr/>
            <w:r>
              <w:t xml:space="preserve">Encuesta anual</w:t>
            </w:r>
          </w:p>
        </w:tc>
      </w:tr>
    </w:tbl>
    <w:p>
      <w:pPr/>
      <w:r>
        <w:rPr>
          <w:b/>
        </w:rPr>
        <w:t xml:space="preserve">Métricas de adopción:</w:t>
      </w:r>
      <w:r>
        <w:t xml:space="preserve"> uso del copiloto en órdenes elegibles (meta 60% en Q2, 80% en Q4), órdenes con briefing abierto antes de salir, desvíos registrados frente a la sugerencia y clima de los técnicos en cada pulso.</w:t>
      </w:r>
    </w:p>
    <w:p>
      <w:pPr>
        <w:pStyle w:val="Heading2"/>
      </w:pPr>
      <w:r>
        <w:t xml:space="preserve">Anexo G · Roadmap de 12 meses</w:t>
      </w:r>
    </w:p>
    <w:p>
      <w:pPr/>
      <w:r>
        <w:t xml:space="preserve">Cuatro trimestres avanzan en tres planos a la vez (técnico, financiero y cultural), con un gate medible al cierre de cada uno. El gate de Q2 libera el tramo 2 solo si el triage resuelve volumen y calidad contra el grupo de control. Al salir de Q4, el run-rate neto es de USD 8,8 M por año.</w:t>
      </w:r>
    </w:p>
    <w:p>
      <w:pPr>
        <w:pStyle w:val="Heading3"/>
      </w:pPr>
      <w:r>
        <w:t xml:space="preserve">Por trimestre</w:t>
      </w:r>
    </w:p>
    <w:tbl>
      <w:tblPr>
        <w:tblStyle w:val="TableGrid"/>
        <w:tblW w:w="0" w:type="auto"/>
        <w:tblLayout w:type="fixed"/>
        <w:tblLook w:val="04A0" w:firstRow="1" w:lastRow="0" w:firstColumn="0" w:lastColumn="0" w:noHBand="0" w:noVBand="1"/>
      </w:tblPr>
      <w:tblGrid>
        <w:gridCol w:w="1463"/>
        <w:gridCol w:w="2399"/>
        <w:gridCol w:w="1728"/>
        <w:gridCol w:w="1865"/>
        <w:gridCol w:w="1905"/>
      </w:tblGrid>
      <w:tr>
        <w:trPr>
          <w:tblHeader/>
        </w:trPr>
        <w:tc>
          <w:tcPr>
            <w:tcW w:w="1463" w:type="dxa"/>
            <w:shd w:val="clear" w:color="auto" w:fill="F2F2F2"/>
          </w:tcPr>
          <w:p>
            <w:pPr/>
          </w:p>
        </w:tc>
        <w:tc>
          <w:tcPr>
            <w:tcW w:w="2399" w:type="dxa"/>
            <w:shd w:val="clear" w:color="auto" w:fill="F2F2F2"/>
          </w:tcPr>
          <w:p>
            <w:pPr/>
            <w:r>
              <w:t xml:space="preserve">Q1 2027 · Cimientos y quick win</w:t>
            </w:r>
          </w:p>
        </w:tc>
        <w:tc>
          <w:tcPr>
            <w:tcW w:w="1728" w:type="dxa"/>
            <w:shd w:val="clear" w:color="auto" w:fill="F2F2F2"/>
          </w:tcPr>
          <w:p>
            <w:pPr/>
            <w:r>
              <w:t xml:space="preserve">Q2 2027 · Triage y piloto</w:t>
            </w:r>
          </w:p>
        </w:tc>
        <w:tc>
          <w:tcPr>
            <w:tcW w:w="1865" w:type="dxa"/>
            <w:shd w:val="clear" w:color="auto" w:fill="F2F2F2"/>
          </w:tcPr>
          <w:p>
            <w:pPr/>
            <w:r>
              <w:t xml:space="preserve">Q3 2027 · Escalado</w:t>
            </w:r>
          </w:p>
        </w:tc>
        <w:tc>
          <w:tcPr>
            <w:tcW w:w="1905" w:type="dxa"/>
            <w:shd w:val="clear" w:color="auto" w:fill="F2F2F2"/>
          </w:tcPr>
          <w:p>
            <w:pPr/>
            <w:r>
              <w:t xml:space="preserve">Q4 2027 · Régimen</w:t>
            </w:r>
          </w:p>
        </w:tc>
      </w:tr>
      <w:tr>
        <w:tc>
          <w:tcPr>
            <w:tcW w:w="1463" w:type="dxa"/>
          </w:tcPr>
          <w:p>
            <w:pPr/>
            <w:r>
              <w:rPr>
                <w:b/>
              </w:rPr>
              <w:t xml:space="preserve">Técnico</w:t>
            </w:r>
          </w:p>
        </w:tc>
        <w:tc>
          <w:tcPr>
            <w:tcW w:w="2399" w:type="dxa"/>
          </w:tcPr>
          <w:p>
            <w:pPr/>
            <w:r>
              <w:t xml:space="preserve">Capa de datos con FSM y CRM integrados; gateway, registro de Jev y MLOps; aviso proactivo en producción; triage en modo sombra</w:t>
            </w:r>
          </w:p>
        </w:tc>
        <w:tc>
          <w:tcPr>
            <w:tcW w:w="1728" w:type="dxa"/>
          </w:tcPr>
          <w:p>
            <w:pPr/>
            <w:r>
              <w:t xml:space="preserve">Telemetría integrada; triage en producción por WhatsApp y voz; app del técnico con briefing y dictado; copiloto en una zona piloto</w:t>
            </w:r>
          </w:p>
        </w:tc>
        <w:tc>
          <w:tcPr>
            <w:tcW w:w="1865" w:type="dxa"/>
          </w:tcPr>
          <w:p>
            <w:pPr/>
            <w:r>
              <w:t xml:space="preserve">Copiloto y foto en todas las zonas; inventario integrado; despacho inteligente en piloto (control por zona y semana)</w:t>
            </w:r>
          </w:p>
        </w:tc>
        <w:tc>
          <w:tcPr>
            <w:tcW w:w="1905" w:type="dxa"/>
          </w:tcPr>
          <w:p>
            <w:pPr/>
            <w:r>
              <w:t xml:space="preserve">Despacho y ruteo en toda la operación; reentrenamiento mensual estable; piloto de mantenimiento predictivo</w:t>
            </w:r>
          </w:p>
        </w:tc>
      </w:tr>
      <w:tr>
        <w:tc>
          <w:tcPr>
            <w:tcW w:w="1463" w:type="dxa"/>
          </w:tcPr>
          <w:p>
            <w:pPr/>
            <w:r>
              <w:rPr>
                <w:b/>
              </w:rPr>
              <w:t xml:space="preserve">Entregables</w:t>
            </w:r>
          </w:p>
        </w:tc>
        <w:tc>
          <w:tcPr>
            <w:tcW w:w="2399" w:type="dxa"/>
          </w:tcPr>
          <w:p>
            <w:pPr/>
            <w:r>
              <w:t xml:space="preserve">Política de autonomía y de uso de IA generativa; evaluación de impacto del aviso y del triage</w:t>
            </w:r>
          </w:p>
        </w:tc>
        <w:tc>
          <w:tcPr>
            <w:tcW w:w="1728" w:type="dxa"/>
          </w:tcPr>
          <w:p>
            <w:pPr/>
            <w:r>
              <w:t xml:space="preserve">Tablero de la métrica norte contra grupo de control; reglas de despacho v1</w:t>
            </w:r>
          </w:p>
        </w:tc>
        <w:tc>
          <w:tcPr>
            <w:tcW w:w="1865" w:type="dxa"/>
          </w:tcPr>
          <w:p>
            <w:pPr/>
            <w:r>
              <w:t xml:space="preserve">Base de conocimiento curada; contrato por resultado en borrador</w:t>
            </w:r>
          </w:p>
        </w:tc>
        <w:tc>
          <w:tcPr>
            <w:tcW w:w="1905" w:type="dxa"/>
          </w:tcPr>
          <w:p>
            <w:pPr/>
            <w:r>
              <w:t xml:space="preserve">Cierre de cada componente; plan del segundo dominio</w:t>
            </w:r>
          </w:p>
        </w:tc>
      </w:tr>
      <w:tr>
        <w:tc>
          <w:tcPr>
            <w:tcW w:w="1463" w:type="dxa"/>
          </w:tcPr>
          <w:p>
            <w:pPr/>
            <w:r>
              <w:rPr>
                <w:b/>
              </w:rPr>
              <w:t xml:space="preserve">Financiero (USD M)</w:t>
            </w:r>
          </w:p>
        </w:tc>
        <w:tc>
          <w:tcPr>
            <w:tcW w:w="2399" w:type="dxa"/>
          </w:tcPr>
          <w:p>
            <w:pPr/>
            <w:r>
              <w:t xml:space="preserve">Inversión 1,35 · beneficio bruto 0,1 · opex 0,10</w:t>
            </w:r>
          </w:p>
        </w:tc>
        <w:tc>
          <w:tcPr>
            <w:tcW w:w="1728" w:type="dxa"/>
          </w:tcPr>
          <w:p>
            <w:pPr/>
            <w:r>
              <w:t xml:space="preserve">Inversión 1,94 · beneficio 0,6 · opex 0,20</w:t>
            </w:r>
          </w:p>
        </w:tc>
        <w:tc>
          <w:tcPr>
            <w:tcW w:w="1865" w:type="dxa"/>
          </w:tcPr>
          <w:p>
            <w:pPr/>
            <w:r>
              <w:t xml:space="preserve">Inversión 1,29 · beneficio 1,5 · opex 0,22</w:t>
            </w:r>
          </w:p>
        </w:tc>
        <w:tc>
          <w:tcPr>
            <w:tcW w:w="1905" w:type="dxa"/>
          </w:tcPr>
          <w:p>
            <w:pPr/>
            <w:r>
              <w:t xml:space="preserve">Inversión 0,82 · beneficio 2,2 · opex 0,28 · run-rate neto de salida 8,8/año</w:t>
            </w:r>
          </w:p>
        </w:tc>
      </w:tr>
      <w:tr>
        <w:tc>
          <w:tcPr>
            <w:tcW w:w="1463" w:type="dxa"/>
          </w:tcPr>
          <w:p>
            <w:pPr/>
            <w:r>
              <w:rPr>
                <w:b/>
              </w:rPr>
              <w:t xml:space="preserve">Cultural</w:t>
            </w:r>
          </w:p>
        </w:tc>
        <w:tc>
          <w:tcPr>
            <w:tcW w:w="2399" w:type="dxa"/>
          </w:tcPr>
          <w:p>
            <w:pPr/>
            <w:r>
              <w:t xml:space="preserve">Comité de IA constituido; acuerdo con el gremio firmado; champions elegidos; lanzamiento interno</w:t>
            </w:r>
          </w:p>
        </w:tc>
        <w:tc>
          <w:tcPr>
            <w:tcW w:w="1728" w:type="dxa"/>
          </w:tcPr>
          <w:p>
            <w:pPr/>
            <w:r>
              <w:t xml:space="preserve">20% de técnicos capacitados; despachador supervisor en la zona piloto</w:t>
            </w:r>
          </w:p>
        </w:tc>
        <w:tc>
          <w:tcPr>
            <w:tcW w:w="1865" w:type="dxa"/>
          </w:tcPr>
          <w:p>
            <w:pPr/>
            <w:r>
              <w:t xml:space="preserve">60% de técnicos habilitados; curadores en funciones; hackatón de campo</w:t>
            </w:r>
          </w:p>
        </w:tc>
        <w:tc>
          <w:tcPr>
            <w:tcW w:w="1905" w:type="dxa"/>
          </w:tcPr>
          <w:p>
            <w:pPr/>
            <w:r>
              <w:t xml:space="preserve">100% de la planta propia; contratos con contratistas negociados</w:t>
            </w:r>
          </w:p>
        </w:tc>
      </w:tr>
      <w:tr>
        <w:tc>
          <w:tcPr>
            <w:tcW w:w="1463" w:type="dxa"/>
          </w:tcPr>
          <w:p>
            <w:pPr/>
            <w:r>
              <w:rPr>
                <w:b/>
              </w:rPr>
              <w:t xml:space="preserve">Gate (medible)</w:t>
            </w:r>
          </w:p>
        </w:tc>
        <w:tc>
          <w:tcPr>
            <w:tcW w:w="2399" w:type="dxa"/>
          </w:tcPr>
          <w:p>
            <w:pPr/>
            <w:r>
              <w:t xml:space="preserve">Visitas fallidas &lt; 7%; triage en sombra acierta ≥ 80% contra el resultado real; acuerdo gremial y evaluación de impacto firmados</w:t>
            </w:r>
          </w:p>
        </w:tc>
        <w:tc>
          <w:tcPr>
            <w:tcW w:w="1728" w:type="dxa"/>
          </w:tcPr>
          <w:p>
            <w:pPr/>
            <w:r>
              <w:rPr>
                <w:b/>
              </w:rPr>
              <w:t xml:space="preserve">Libera el tramo 2:</w:t>
            </w:r>
            <w:r>
              <w:t xml:space="preserve"> ver abajo</w:t>
            </w:r>
          </w:p>
        </w:tc>
        <w:tc>
          <w:tcPr>
            <w:tcW w:w="1865" w:type="dxa"/>
          </w:tcPr>
          <w:p>
            <w:pPr/>
            <w:r>
              <w:t xml:space="preserve">First-time fix ≥ 77% en zonas con copiloto, contra control; SLA de reparación sin deterioro</w:t>
            </w:r>
          </w:p>
        </w:tc>
        <w:tc>
          <w:tcPr>
            <w:tcW w:w="1905" w:type="dxa"/>
          </w:tcPr>
          <w:p>
            <w:pPr/>
            <w:r>
              <w:t xml:space="preserve">Métrica norte ≤ USD 42 por orden resuelta; guardas no peores que control; decisión de fase 2</w:t>
            </w:r>
          </w:p>
        </w:tc>
      </w:tr>
    </w:tbl>
    <w:p>
      <w:pPr>
        <w:pStyle w:val="Heading3"/>
      </w:pPr>
      <w:r>
        <w:t xml:space="preserve">Gate de Q2: condición para liberar el tramo 2 (USD 2,11 M)</w:t>
      </w:r>
    </w:p>
    <w:p>
      <w:pPr/>
      <w:r>
        <w:t xml:space="preserve">Se libera solo si se cumplen las cinco condiciones, medidas en las últimas 6 semanas de junio contra el grupo de control.</w:t>
      </w:r>
    </w:p>
    <w:p>
      <w:pPr>
        <w:pStyle w:val="ListParagraph"/>
        <w:numPr>
          <w:ilvl w:val="0"/>
          <w:numId w:val="17"/>
        </w:numPr>
      </w:pPr>
      <w:r>
        <w:rPr>
          <w:b/>
        </w:rPr>
        <w:t xml:space="preserve">Volumen:</w:t>
      </w:r>
      <w:r>
        <w:t xml:space="preserve"> el triage resuelve sin visita ≥ 20% de los reclamos que atiende.</w:t>
      </w:r>
    </w:p>
    <w:p>
      <w:pPr>
        <w:pStyle w:val="ListParagraph"/>
        <w:numPr>
          <w:ilvl w:val="0"/>
          <w:numId w:val="17"/>
        </w:numPr>
      </w:pPr>
      <w:r>
        <w:rPr>
          <w:b/>
        </w:rPr>
        <w:t xml:space="preserve">Calidad del triage:</w:t>
      </w:r>
      <w:r>
        <w:t xml:space="preserve"> el re-reclamo a 7 días de los casos resueltos a distancia no supera en más del 10% al de los casos con visita del grupo de control.</w:t>
      </w:r>
    </w:p>
    <w:p>
      <w:pPr>
        <w:pStyle w:val="ListParagraph"/>
        <w:numPr>
          <w:ilvl w:val="0"/>
          <w:numId w:val="17"/>
        </w:numPr>
      </w:pPr>
      <w:r>
        <w:rPr>
          <w:b/>
        </w:rPr>
        <w:t xml:space="preserve">Experiencia:</w:t>
      </w:r>
      <w:r>
        <w:t xml:space="preserve"> NPS post-triage ≥ 90% del NPS post-visita del grupo de control.</w:t>
      </w:r>
    </w:p>
    <w:p>
      <w:pPr>
        <w:pStyle w:val="ListParagraph"/>
        <w:numPr>
          <w:ilvl w:val="0"/>
          <w:numId w:val="17"/>
        </w:numPr>
      </w:pPr>
      <w:r>
        <w:rPr>
          <w:b/>
        </w:rPr>
        <w:t xml:space="preserve">Adopción:</w:t>
      </w:r>
      <w:r>
        <w:t xml:space="preserve"> uso del copiloto ≥ 60% de las órdenes elegibles en la zona piloto.</w:t>
      </w:r>
    </w:p>
    <w:p>
      <w:pPr>
        <w:pStyle w:val="ListParagraph"/>
        <w:numPr>
          <w:ilvl w:val="0"/>
          <w:numId w:val="17"/>
        </w:numPr>
      </w:pPr>
      <w:r>
        <w:rPr>
          <w:b/>
        </w:rPr>
        <w:t xml:space="preserve">Costo:</w:t>
      </w:r>
      <w:r>
        <w:t xml:space="preserve"> ejecución del tramo 1 sin sobrecosto mayor al 20%; cero incidentes de privacidad graves.</w:t>
      </w:r>
    </w:p>
    <w:p>
      <w:pPr/>
      <w:r>
        <w:t xml:space="preserve">Si falla el volumen o la calidad, rige la decisión preacordada del escenario pesimista (anexo H). Si falla solo la adopción, el comité puede extender el piloto 6 semanas sin liberar fondos.</w:t>
      </w:r>
    </w:p>
    <w:p>
      <w:pPr>
        <w:pStyle w:val="Heading3"/>
      </w:pPr>
      <w:r>
        <w:t xml:space="preserve">Dependencias críticas</w:t>
      </w:r>
    </w:p>
    <w:p>
      <w:pPr>
        <w:pStyle w:val="ListParagraph"/>
        <w:numPr>
          <w:ilvl w:val="0"/>
          <w:numId w:val="18"/>
        </w:numPr>
      </w:pPr>
      <w:r>
        <w:t xml:space="preserve">Triage en producción (Q2) depende de la integración de telemetría y del gate de Q1.</w:t>
      </w:r>
    </w:p>
    <w:p>
      <w:pPr>
        <w:pStyle w:val="ListParagraph"/>
        <w:numPr>
          <w:ilvl w:val="0"/>
          <w:numId w:val="18"/>
        </w:numPr>
      </w:pPr>
      <w:r>
        <w:t xml:space="preserve">Copiloto en todas las zonas (Q3) depende del gate de Q2 y de los curadores formados.</w:t>
      </w:r>
    </w:p>
    <w:p>
      <w:pPr>
        <w:pStyle w:val="ListParagraph"/>
        <w:numPr>
          <w:ilvl w:val="0"/>
          <w:numId w:val="18"/>
        </w:numPr>
      </w:pPr>
      <w:r>
        <w:t xml:space="preserve">Despacho inteligente (Q3–Q4) depende de reglas v1 aprobadas por el COO y de la integración de inventario.</w:t>
      </w:r>
    </w:p>
    <w:p>
      <w:pPr>
        <w:pStyle w:val="ListParagraph"/>
        <w:numPr>
          <w:ilvl w:val="0"/>
          <w:numId w:val="18"/>
        </w:numPr>
      </w:pPr>
      <w:r>
        <w:t xml:space="preserve">Todo despliegue a producción depende de la evaluación de impacto firmada por el CISO.</w:t>
      </w:r>
    </w:p>
    <w:p>
      <w:pPr>
        <w:pStyle w:val="Heading2"/>
      </w:pPr>
      <w:r>
        <w:t xml:space="preserve">Anexo H · Escenarios</w:t>
      </w:r>
    </w:p>
    <w:p>
      <w:pPr/>
      <w:r>
        <w:t xml:space="preserve">El VAN es positivo en los tres escenarios. Ponderado por probabilidad, el VAN esperado es de USD 19,0 M y el beneficio esperado a régimen, de USD 8,2 M por año. La respuesta a cada desvío está decidida antes de empezar.</w:t>
      </w:r>
    </w:p>
    <w:tbl>
      <w:tblPr>
        <w:tblStyle w:val="TableGrid"/>
        <w:tblW w:w="0" w:type="auto"/>
        <w:tblLayout w:type="fixed"/>
        <w:tblLook w:val="04A0" w:firstRow="1" w:lastRow="0" w:firstColumn="0" w:lastColumn="0" w:noHBand="0" w:noVBand="1"/>
      </w:tblPr>
      <w:tblGrid>
        <w:gridCol w:w="1170"/>
        <w:gridCol w:w="1170"/>
        <w:gridCol w:w="2167"/>
        <w:gridCol w:w="1088"/>
        <w:gridCol w:w="991"/>
        <w:gridCol w:w="870"/>
        <w:gridCol w:w="797"/>
        <w:gridCol w:w="1107"/>
      </w:tblGrid>
      <w:tr>
        <w:trPr>
          <w:tblHeader/>
        </w:trPr>
        <w:tc>
          <w:tcPr>
            <w:tcW w:w="1170" w:type="dxa"/>
            <w:shd w:val="clear" w:color="auto" w:fill="F2F2F2"/>
          </w:tcPr>
          <w:p>
            <w:pPr/>
            <w:r>
              <w:t xml:space="preserve">Escenario</w:t>
            </w:r>
          </w:p>
        </w:tc>
        <w:tc>
          <w:tcPr>
            <w:tcW w:w="1170" w:type="dxa"/>
            <w:shd w:val="clear" w:color="auto" w:fill="F2F2F2"/>
          </w:tcPr>
          <w:p>
            <w:pPr/>
            <w:r>
              <w:t xml:space="preserve">Probabilidad</w:t>
            </w:r>
          </w:p>
        </w:tc>
        <w:tc>
          <w:tcPr>
            <w:tcW w:w="2167" w:type="dxa"/>
            <w:shd w:val="clear" w:color="auto" w:fill="F2F2F2"/>
          </w:tcPr>
          <w:p>
            <w:pPr/>
            <w:r>
              <w:t xml:space="preserve">Supuesto</w:t>
            </w:r>
          </w:p>
        </w:tc>
        <w:tc>
          <w:tcPr>
            <w:tcW w:w="1088" w:type="dxa"/>
            <w:shd w:val="clear" w:color="auto" w:fill="F2F2F2"/>
          </w:tcPr>
          <w:p>
            <w:pPr/>
            <w:r>
              <w:t xml:space="preserve">Neto a régimen (USD M/año)</w:t>
            </w:r>
          </w:p>
        </w:tc>
        <w:tc>
          <w:tcPr>
            <w:tcW w:w="991" w:type="dxa"/>
            <w:shd w:val="clear" w:color="auto" w:fill="F2F2F2"/>
          </w:tcPr>
          <w:p>
            <w:pPr/>
            <w:r>
              <w:t xml:space="preserve">Neto 24 meses (USD M)</w:t>
            </w:r>
          </w:p>
        </w:tc>
        <w:tc>
          <w:tcPr>
            <w:tcW w:w="870" w:type="dxa"/>
            <w:shd w:val="clear" w:color="auto" w:fill="F2F2F2"/>
          </w:tcPr>
          <w:p>
            <w:pPr/>
            <w:r>
              <w:t xml:space="preserve">VAN 5 años (USD M)</w:t>
            </w:r>
          </w:p>
        </w:tc>
        <w:tc>
          <w:tcPr>
            <w:tcW w:w="797" w:type="dxa"/>
            <w:shd w:val="clear" w:color="auto" w:fill="F2F2F2"/>
          </w:tcPr>
          <w:p>
            <w:pPr/>
            <w:r>
              <w:t xml:space="preserve">TIR</w:t>
            </w:r>
          </w:p>
        </w:tc>
        <w:tc>
          <w:tcPr>
            <w:tcW w:w="1107" w:type="dxa"/>
            <w:shd w:val="clear" w:color="auto" w:fill="F2F2F2"/>
          </w:tcPr>
          <w:p>
            <w:pPr/>
            <w:r>
              <w:t xml:space="preserve">Payback</w:t>
            </w:r>
          </w:p>
        </w:tc>
      </w:tr>
      <w:tr>
        <w:tc>
          <w:tcPr>
            <w:tcW w:w="1170" w:type="dxa"/>
          </w:tcPr>
          <w:p>
            <w:pPr/>
            <w:r>
              <w:t xml:space="preserve">Optimista</w:t>
            </w:r>
          </w:p>
        </w:tc>
        <w:tc>
          <w:tcPr>
            <w:tcW w:w="1170" w:type="dxa"/>
          </w:tcPr>
          <w:p>
            <w:pPr/>
            <w:r>
              <w:t xml:space="preserve">25%</w:t>
            </w:r>
          </w:p>
        </w:tc>
        <w:tc>
          <w:tcPr>
            <w:tcW w:w="2167" w:type="dxa"/>
          </w:tcPr>
          <w:p>
            <w:pPr/>
            <w:r>
              <w:t xml:space="preserve">Beneficio bruto +30%</w:t>
            </w:r>
          </w:p>
        </w:tc>
        <w:tc>
          <w:tcPr>
            <w:tcW w:w="1088" w:type="dxa"/>
          </w:tcPr>
          <w:p>
            <w:pPr/>
            <w:r>
              <w:t xml:space="preserve">11,8</w:t>
            </w:r>
          </w:p>
        </w:tc>
        <w:tc>
          <w:tcPr>
            <w:tcW w:w="991" w:type="dxa"/>
          </w:tcPr>
          <w:p>
            <w:pPr/>
            <w:r>
              <w:t xml:space="preserve">+11,3</w:t>
            </w:r>
          </w:p>
        </w:tc>
        <w:tc>
          <w:tcPr>
            <w:tcW w:w="870" w:type="dxa"/>
          </w:tcPr>
          <w:p>
            <w:pPr/>
            <w:r>
              <w:t xml:space="preserve">30,3</w:t>
            </w:r>
          </w:p>
        </w:tc>
        <w:tc>
          <w:tcPr>
            <w:tcW w:w="797" w:type="dxa"/>
          </w:tcPr>
          <w:p>
            <w:pPr/>
            <w:r>
              <w:t xml:space="preserve">452%</w:t>
            </w:r>
          </w:p>
        </w:tc>
        <w:tc>
          <w:tcPr>
            <w:tcW w:w="1107" w:type="dxa"/>
          </w:tcPr>
          <w:p>
            <w:pPr/>
            <w:r>
              <w:t xml:space="preserve">Q1 2028</w:t>
            </w:r>
          </w:p>
        </w:tc>
      </w:tr>
      <w:tr>
        <w:tc>
          <w:tcPr>
            <w:tcW w:w="1170" w:type="dxa"/>
          </w:tcPr>
          <w:p>
            <w:pPr/>
            <w:r>
              <w:t xml:space="preserve">Base</w:t>
            </w:r>
          </w:p>
        </w:tc>
        <w:tc>
          <w:tcPr>
            <w:tcW w:w="1170" w:type="dxa"/>
          </w:tcPr>
          <w:p>
            <w:pPr/>
            <w:r>
              <w:t xml:space="preserve">50%</w:t>
            </w:r>
          </w:p>
        </w:tc>
        <w:tc>
          <w:tcPr>
            <w:tcW w:w="2167" w:type="dxa"/>
          </w:tcPr>
          <w:p>
            <w:pPr/>
            <w:r>
              <w:t xml:space="preserve">Plan del anexo B</w:t>
            </w:r>
          </w:p>
        </w:tc>
        <w:tc>
          <w:tcPr>
            <w:tcW w:w="1088" w:type="dxa"/>
          </w:tcPr>
          <w:p>
            <w:pPr/>
            <w:r>
              <w:t xml:space="preserve">8,8</w:t>
            </w:r>
          </w:p>
        </w:tc>
        <w:tc>
          <w:tcPr>
            <w:tcW w:w="991" w:type="dxa"/>
          </w:tcPr>
          <w:p>
            <w:pPr/>
            <w:r>
              <w:t xml:space="preserve">+7,0</w:t>
            </w:r>
          </w:p>
        </w:tc>
        <w:tc>
          <w:tcPr>
            <w:tcW w:w="870" w:type="dxa"/>
          </w:tcPr>
          <w:p>
            <w:pPr/>
            <w:r>
              <w:t xml:space="preserve">21,0</w:t>
            </w:r>
          </w:p>
        </w:tc>
        <w:tc>
          <w:tcPr>
            <w:tcW w:w="797" w:type="dxa"/>
          </w:tcPr>
          <w:p>
            <w:pPr/>
            <w:r>
              <w:t xml:space="preserve">276%</w:t>
            </w:r>
          </w:p>
        </w:tc>
        <w:tc>
          <w:tcPr>
            <w:tcW w:w="1107" w:type="dxa"/>
          </w:tcPr>
          <w:p>
            <w:pPr/>
            <w:r>
              <w:t xml:space="preserve">Q1 2028</w:t>
            </w:r>
          </w:p>
        </w:tc>
      </w:tr>
      <w:tr>
        <w:tc>
          <w:tcPr>
            <w:tcW w:w="1170" w:type="dxa"/>
          </w:tcPr>
          <w:p>
            <w:pPr/>
            <w:r>
              <w:t xml:space="preserve">Pesimista</w:t>
            </w:r>
          </w:p>
        </w:tc>
        <w:tc>
          <w:tcPr>
            <w:tcW w:w="1170" w:type="dxa"/>
          </w:tcPr>
          <w:p>
            <w:pPr/>
            <w:r>
              <w:t xml:space="preserve">25%</w:t>
            </w:r>
          </w:p>
        </w:tc>
        <w:tc>
          <w:tcPr>
            <w:tcW w:w="2167" w:type="dxa"/>
          </w:tcPr>
          <w:p>
            <w:pPr/>
            <w:r>
              <w:t xml:space="preserve">Mitad del beneficio bruto; +20% en inversión y opex</w:t>
            </w:r>
          </w:p>
        </w:tc>
        <w:tc>
          <w:tcPr>
            <w:tcW w:w="1088" w:type="dxa"/>
          </w:tcPr>
          <w:p>
            <w:pPr/>
            <w:r>
              <w:t xml:space="preserve">3,5</w:t>
            </w:r>
          </w:p>
        </w:tc>
        <w:tc>
          <w:tcPr>
            <w:tcW w:w="991" w:type="dxa"/>
          </w:tcPr>
          <w:p>
            <w:pPr/>
            <w:r>
              <w:t xml:space="preserve">−1,8</w:t>
            </w:r>
          </w:p>
        </w:tc>
        <w:tc>
          <w:tcPr>
            <w:tcW w:w="870" w:type="dxa"/>
          </w:tcPr>
          <w:p>
            <w:pPr/>
            <w:r>
              <w:t xml:space="preserve">3,7</w:t>
            </w:r>
          </w:p>
        </w:tc>
        <w:tc>
          <w:tcPr>
            <w:tcW w:w="797" w:type="dxa"/>
          </w:tcPr>
          <w:p>
            <w:pPr/>
            <w:r>
              <w:t xml:space="preserve">48%</w:t>
            </w:r>
          </w:p>
        </w:tc>
        <w:tc>
          <w:tcPr>
            <w:tcW w:w="1107" w:type="dxa"/>
          </w:tcPr>
          <w:p>
            <w:pPr/>
            <w:r>
              <w:t xml:space="preserve">Q3 2029</w:t>
            </w:r>
          </w:p>
        </w:tc>
      </w:tr>
    </w:tbl>
    <w:p>
      <w:pPr/>
      <w:r>
        <w:t xml:space="preserve">El pesimista supone que se gasta todo; si el gate de Q2 frena el tramo 2, la exposición baja hasta USD 2,11 M.</w:t>
      </w:r>
    </w:p>
    <w:p>
      <w:pPr/>
      <w:r>
        <w:drawing>
          <wp:inline distT="0" distB="0" distL="0" distR="0">
            <wp:extent cx="5486400" cy="2318657"/>
            <wp:docPr id="1" name="image1" descr="árbol de decisión · gates de Q2 y Q3, tres escenarios"/>
            <a:graphic xmlns:a="http://schemas.openxmlformats.org/drawingml/2006/main">
              <a:graphicData uri="http://schemas.openxmlformats.org/drawingml/2006/picture">
                <pic:pic xmlns:pic="http://schemas.openxmlformats.org/drawingml/2006/picture">
                  <pic:nvPicPr>
                    <pic:cNvPr id="1" name="image1" descr="árbol de decisión · gates de Q2 y Q3, tres escenarios"/>
                    <pic:cNvPicPr/>
                  </pic:nvPicPr>
                  <pic:blipFill>
                    <a:blip r:embed="rId3"/>
                    <a:stretch>
                      <a:fillRect/>
                    </a:stretch>
                  </pic:blipFill>
                  <pic:spPr>
                    <a:xfrm>
                      <a:off x="0" y="0"/>
                      <a:ext cx="5486400" cy="2318657"/>
                    </a:xfrm>
                    <a:prstGeom prst="rect">
                      <a:avLst/>
                    </a:prstGeom>
                  </pic:spPr>
                </pic:pic>
              </a:graphicData>
            </a:graphic>
          </wp:inline>
        </w:drawing>
      </w:r>
    </w:p>
    <w:p>
      <w:pPr/>
      <w:r>
        <w:t xml:space="preserve">árbol de decisión · gates de Q2 y Q3, tres escenarios</w:t>
      </w:r>
    </w:p>
    <w:p>
      <w:pPr/>
      <w:r>
        <w:t xml:space="preserve">Los gatillos se miden contra el grupo de control y los decide el comité de IA en la sesión del gate.</w:t>
      </w:r>
    </w:p>
    <w:tbl>
      <w:tblPr>
        <w:tblStyle w:val="TableGrid"/>
        <w:tblW w:w="0" w:type="auto"/>
        <w:tblLayout w:type="fixed"/>
        <w:tblLook w:val="04A0" w:firstRow="1" w:lastRow="0" w:firstColumn="0" w:lastColumn="0" w:noHBand="0" w:noVBand="1"/>
      </w:tblPr>
      <w:tblGrid>
        <w:gridCol w:w="1311"/>
        <w:gridCol w:w="3026"/>
        <w:gridCol w:w="3669"/>
        <w:gridCol w:w="1354"/>
      </w:tblGrid>
      <w:tr>
        <w:trPr>
          <w:tblHeader/>
        </w:trPr>
        <w:tc>
          <w:tcPr>
            <w:tcW w:w="1311" w:type="dxa"/>
            <w:shd w:val="clear" w:color="auto" w:fill="F2F2F2"/>
          </w:tcPr>
          <w:p>
            <w:pPr/>
            <w:r>
              <w:t xml:space="preserve">Escenario</w:t>
            </w:r>
          </w:p>
        </w:tc>
        <w:tc>
          <w:tcPr>
            <w:tcW w:w="3026" w:type="dxa"/>
            <w:shd w:val="clear" w:color="auto" w:fill="F2F2F2"/>
          </w:tcPr>
          <w:p>
            <w:pPr/>
            <w:r>
              <w:t xml:space="preserve">Gatillo cuantitativo</w:t>
            </w:r>
          </w:p>
        </w:tc>
        <w:tc>
          <w:tcPr>
            <w:tcW w:w="3669" w:type="dxa"/>
            <w:shd w:val="clear" w:color="auto" w:fill="F2F2F2"/>
          </w:tcPr>
          <w:p>
            <w:pPr/>
            <w:r>
              <w:t xml:space="preserve">Decisión preacordada</w:t>
            </w:r>
          </w:p>
        </w:tc>
        <w:tc>
          <w:tcPr>
            <w:tcW w:w="1354" w:type="dxa"/>
            <w:shd w:val="clear" w:color="auto" w:fill="F2F2F2"/>
          </w:tcPr>
          <w:p>
            <w:pPr/>
            <w:r>
              <w:t xml:space="preserve">Quién decide</w:t>
            </w:r>
          </w:p>
        </w:tc>
      </w:tr>
      <w:tr>
        <w:tc>
          <w:tcPr>
            <w:tcW w:w="1311" w:type="dxa"/>
          </w:tcPr>
          <w:p>
            <w:pPr/>
            <w:r>
              <w:t xml:space="preserve">Pesimista</w:t>
            </w:r>
          </w:p>
        </w:tc>
        <w:tc>
          <w:tcPr>
            <w:tcW w:w="3026" w:type="dxa"/>
          </w:tcPr>
          <w:p>
            <w:pPr/>
            <w:r>
              <w:t xml:space="preserve">En Q2: triage &lt; 20%, re-reclamo a distancia &gt; 1,1 veces el del control, o sobrecosto &gt; 20%</w:t>
            </w:r>
          </w:p>
        </w:tc>
        <w:tc>
          <w:tcPr>
            <w:tcW w:w="3669" w:type="dxa"/>
          </w:tcPr>
          <w:p>
            <w:pPr/>
            <w:r>
              <w:t xml:space="preserve">No liberar el tramo 2 completo; concentrar en triage y aviso proactivo, las palancas de retorno más rápido; revisar en Q3</w:t>
            </w:r>
          </w:p>
        </w:tc>
        <w:tc>
          <w:tcPr>
            <w:tcW w:w="1354" w:type="dxa"/>
          </w:tcPr>
          <w:p>
            <w:pPr/>
            <w:r>
              <w:t xml:space="preserve">Comité de IA; aprueban CEO y CFO</w:t>
            </w:r>
          </w:p>
        </w:tc>
      </w:tr>
      <w:tr>
        <w:tc>
          <w:tcPr>
            <w:tcW w:w="1311" w:type="dxa"/>
          </w:tcPr>
          <w:p>
            <w:pPr/>
            <w:r>
              <w:t xml:space="preserve">Base</w:t>
            </w:r>
          </w:p>
        </w:tc>
        <w:tc>
          <w:tcPr>
            <w:tcW w:w="3026" w:type="dxa"/>
          </w:tcPr>
          <w:p>
            <w:pPr/>
            <w:r>
              <w:t xml:space="preserve">Indicadores dentro de ±15% de la rampa planificada</w:t>
            </w:r>
          </w:p>
        </w:tc>
        <w:tc>
          <w:tcPr>
            <w:tcW w:w="3669" w:type="dxa"/>
          </w:tcPr>
          <w:p>
            <w:pPr/>
            <w:r>
              <w:t xml:space="preserve">Seguir el roadmap; sumar contratistas a la app en 2028</w:t>
            </w:r>
          </w:p>
        </w:tc>
        <w:tc>
          <w:tcPr>
            <w:tcW w:w="1354" w:type="dxa"/>
          </w:tcPr>
          <w:p>
            <w:pPr/>
            <w:r>
              <w:t xml:space="preserve">Comité de IA</w:t>
            </w:r>
          </w:p>
        </w:tc>
      </w:tr>
      <w:tr>
        <w:tc>
          <w:tcPr>
            <w:tcW w:w="1311" w:type="dxa"/>
          </w:tcPr>
          <w:p>
            <w:pPr/>
            <w:r>
              <w:t xml:space="preserve">Optimista</w:t>
            </w:r>
          </w:p>
        </w:tc>
        <w:tc>
          <w:tcPr>
            <w:tcW w:w="3026" w:type="dxa"/>
          </w:tcPr>
          <w:p>
            <w:pPr/>
            <w:r>
              <w:t xml:space="preserve">En Q3: triage &gt; 50% de los casos que atiende y first-time fix ≥ 82%</w:t>
            </w:r>
          </w:p>
        </w:tc>
        <w:tc>
          <w:tcPr>
            <w:tcW w:w="3669" w:type="dxa"/>
          </w:tcPr>
          <w:p>
            <w:pPr/>
            <w:r>
              <w:t xml:space="preserve">Adelantar a Q4 2027 el piloto de mantenimiento predictivo y la predicción de repuestos</w:t>
            </w:r>
          </w:p>
        </w:tc>
        <w:tc>
          <w:tcPr>
            <w:tcW w:w="1354" w:type="dxa"/>
          </w:tcPr>
          <w:p>
            <w:pPr/>
            <w:r>
              <w:t xml:space="preserve">Comité de IA; aprueba el CEO</w:t>
            </w:r>
          </w:p>
        </w:tc>
      </w:tr>
    </w:tbl>
    <w:p>
      <w:pPr>
        <w:pStyle w:val="Heading3"/>
      </w:pPr>
      <w:r>
        <w:t xml:space="preserve">Costo de esperar</w:t>
      </w:r>
    </w:p>
    <w:p>
      <w:pPr/>
      <w:r>
        <w:t xml:space="preserve">Con un beneficio esperado de USD 8,2 M por año a régimen (25% × 3,5 + 50% × 8,8 + 25% × 11,8), cada mes de demora corre el calendario y resta USD 0,7 M. Un trimestre de demora cuesta USD 2,1 M, más que toda la inversión de Q1.</w:t>
      </w:r>
    </w:p>
    <w:p>
      <w:pPr>
        <w:pStyle w:val="Heading2"/>
      </w:pPr>
      <w:r>
        <w:t xml:space="preserve">Anexo I · Decisión, ask y políticas</w:t>
      </w:r>
    </w:p>
    <w:p>
      <w:pPr/>
      <w:r>
        <w:t xml:space="preserve">Hoy se le piden tres decisiones al board: USD 3,29 M para el primer semestre, el gate de Q2 como única llave del resto, y el mandato de gobierno para operar desde enero. Cada mes sin decidir cuesta USD 0,7 M.</w:t>
      </w:r>
    </w:p>
    <w:p>
      <w:pPr>
        <w:pStyle w:val="Heading3"/>
      </w:pPr>
      <w:r>
        <w:t xml:space="preserve">El ask</w:t>
      </w:r>
    </w:p>
    <w:p>
      <w:pPr>
        <w:pStyle w:val="ListParagraph"/>
        <w:numPr>
          <w:ilvl w:val="0"/>
          <w:numId w:val="19"/>
        </w:numPr>
      </w:pPr>
      <w:r>
        <w:rPr>
          <w:b/>
        </w:rPr>
        <w:t xml:space="preserve">Aprobar el Plan Maestro y el tramo 1:</w:t>
      </w:r>
      <w:r>
        <w:t xml:space="preserve"> USD 3,29 M para Q1 y Q2 2027, con la contingencia incluida.</w:t>
      </w:r>
    </w:p>
    <w:p>
      <w:pPr>
        <w:pStyle w:val="ListParagraph"/>
        <w:numPr>
          <w:ilvl w:val="0"/>
          <w:numId w:val="19"/>
        </w:numPr>
      </w:pPr>
      <w:r>
        <w:rPr>
          <w:b/>
        </w:rPr>
        <w:t xml:space="preserve">Atar el tramo 2 al gate de Q2:</w:t>
      </w:r>
      <w:r>
        <w:t xml:space="preserve"> USD 2,11 M para Q3 y Q4, liberados solo si se cumplen las cinco condiciones del anexo G, medidas contra el grupo de control.</w:t>
      </w:r>
    </w:p>
    <w:p>
      <w:pPr>
        <w:pStyle w:val="ListParagraph"/>
        <w:numPr>
          <w:ilvl w:val="0"/>
          <w:numId w:val="19"/>
        </w:numPr>
      </w:pPr>
      <w:r>
        <w:rPr>
          <w:b/>
        </w:rPr>
        <w:t xml:space="preserve">Constituir el comité de IA y aprobar sus políticas:</w:t>
      </w:r>
      <w:r>
        <w:t xml:space="preserve"> autonomía de la IA, resolución remota y compensaciones, y datos y uso de IA generativa; con mandato para cerrar el acuerdo con el gremio en Q1.</w:t>
      </w:r>
    </w:p>
    <w:p>
      <w:pPr>
        <w:pStyle w:val="Heading3"/>
      </w:pPr>
      <w:r>
        <w:t xml:space="preserve">Costo de no hacer</w:t>
      </w:r>
    </w:p>
    <w:p>
      <w:pPr>
        <w:pStyle w:val="ListParagraph"/>
        <w:numPr>
          <w:ilvl w:val="0"/>
          <w:numId w:val="20"/>
        </w:numPr>
      </w:pPr>
      <w:r>
        <w:rPr>
          <w:b/>
        </w:rPr>
        <w:t xml:space="preserve">Hoy:</w:t>
      </w:r>
      <w:r>
        <w:t xml:space="preserve"> USD 25,6 M por año de pérdida (USD 2,1 M por mes), creciendo con cada abonado nuevo.</w:t>
      </w:r>
    </w:p>
    <w:p>
      <w:pPr>
        <w:pStyle w:val="ListParagraph"/>
        <w:numPr>
          <w:ilvl w:val="0"/>
          <w:numId w:val="20"/>
        </w:numPr>
      </w:pPr>
      <w:r>
        <w:rPr>
          <w:b/>
        </w:rPr>
        <w:t xml:space="preserve">Demorar la decisión:</w:t>
      </w:r>
      <w:r>
        <w:t xml:space="preserve"> −USD 0,7 M de beneficio esperado por mes y −USD 2,1 M por trimestre.</w:t>
      </w:r>
    </w:p>
    <w:p>
      <w:pPr>
        <w:pStyle w:val="ListParagraph"/>
        <w:numPr>
          <w:ilvl w:val="0"/>
          <w:numId w:val="20"/>
        </w:numPr>
      </w:pPr>
      <w:r>
        <w:rPr>
          <w:b/>
        </w:rPr>
        <w:t xml:space="preserve">Sin decidir:</w:t>
      </w:r>
      <w:r>
        <w:t xml:space="preserve"> la empresa sigue en el nivel 2 de madurez, con pilotos sin dueño y uso de IA generativa sin política.</w:t>
      </w:r>
    </w:p>
    <w:p>
      <w:pPr>
        <w:pStyle w:val="Heading3"/>
      </w:pPr>
      <w:r>
        <w:t xml:space="preserve">Políticas a aprobar</w:t>
      </w:r>
    </w:p>
    <w:tbl>
      <w:tblPr>
        <w:tblStyle w:val="TableGrid"/>
        <w:tblW w:w="0" w:type="auto"/>
        <w:tblLayout w:type="fixed"/>
        <w:tblLook w:val="04A0" w:firstRow="1" w:lastRow="0" w:firstColumn="0" w:lastColumn="0" w:noHBand="0" w:noVBand="1"/>
      </w:tblPr>
      <w:tblGrid>
        <w:gridCol w:w="1946"/>
        <w:gridCol w:w="4596"/>
        <w:gridCol w:w="1159"/>
        <w:gridCol w:w="1659"/>
      </w:tblGrid>
      <w:tr>
        <w:trPr>
          <w:tblHeader/>
        </w:trPr>
        <w:tc>
          <w:tcPr>
            <w:tcW w:w="1946" w:type="dxa"/>
            <w:shd w:val="clear" w:color="auto" w:fill="F2F2F2"/>
          </w:tcPr>
          <w:p>
            <w:pPr/>
            <w:r>
              <w:t xml:space="preserve">Política</w:t>
            </w:r>
          </w:p>
        </w:tc>
        <w:tc>
          <w:tcPr>
            <w:tcW w:w="4596" w:type="dxa"/>
            <w:shd w:val="clear" w:color="auto" w:fill="F2F2F2"/>
          </w:tcPr>
          <w:p>
            <w:pPr/>
            <w:r>
              <w:t xml:space="preserve">Qué fija</w:t>
            </w:r>
          </w:p>
        </w:tc>
        <w:tc>
          <w:tcPr>
            <w:tcW w:w="1159" w:type="dxa"/>
            <w:shd w:val="clear" w:color="auto" w:fill="F2F2F2"/>
          </w:tcPr>
          <w:p>
            <w:pPr/>
            <w:r>
              <w:t xml:space="preserve">Dueño</w:t>
            </w:r>
          </w:p>
        </w:tc>
        <w:tc>
          <w:tcPr>
            <w:tcW w:w="1659" w:type="dxa"/>
            <w:shd w:val="clear" w:color="auto" w:fill="F2F2F2"/>
          </w:tcPr>
          <w:p>
            <w:pPr/>
            <w:r>
              <w:t xml:space="preserve">Detalle</w:t>
            </w:r>
          </w:p>
        </w:tc>
      </w:tr>
      <w:tr>
        <w:tc>
          <w:tcPr>
            <w:tcW w:w="1946" w:type="dxa"/>
          </w:tcPr>
          <w:p>
            <w:pPr/>
            <w:r>
              <w:t xml:space="preserve">Autonomía de la IA</w:t>
            </w:r>
          </w:p>
        </w:tc>
        <w:tc>
          <w:tcPr>
            <w:tcW w:w="4596" w:type="dxa"/>
          </w:tcPr>
          <w:p>
            <w:pPr/>
            <w:r>
              <w:t xml:space="preserve">Qué hace la IA sola, qué propone y qué decide siempre una persona; cómo se sube o baja un caso de nivel</w:t>
            </w:r>
          </w:p>
        </w:tc>
        <w:tc>
          <w:tcPr>
            <w:tcW w:w="1159" w:type="dxa"/>
          </w:tcPr>
          <w:p>
            <w:pPr/>
            <w:r>
              <w:t xml:space="preserve">CAIO; aprueba el CISO</w:t>
            </w:r>
          </w:p>
        </w:tc>
        <w:tc>
          <w:tcPr>
            <w:tcW w:w="1659" w:type="dxa"/>
          </w:tcPr>
          <w:p>
            <w:pPr/>
            <w:r>
              <w:t xml:space="preserve">Anexo D</w:t>
            </w:r>
          </w:p>
        </w:tc>
      </w:tr>
      <w:tr>
        <w:tc>
          <w:tcPr>
            <w:tcW w:w="1946" w:type="dxa"/>
          </w:tcPr>
          <w:p>
            <w:pPr/>
            <w:r>
              <w:t xml:space="preserve">Resolución remota y compensaciones</w:t>
            </w:r>
          </w:p>
        </w:tc>
        <w:tc>
          <w:tcPr>
            <w:tcW w:w="4596" w:type="dxa"/>
          </w:tcPr>
          <w:p>
            <w:pPr/>
            <w:r>
              <w:t xml:space="preserve">Límite de guía remota, derecho a visita, umbrales de compensación, prohibición de que la IA prometa u otorgue</w:t>
            </w:r>
          </w:p>
        </w:tc>
        <w:tc>
          <w:tcPr>
            <w:tcW w:w="1159" w:type="dxa"/>
          </w:tcPr>
          <w:p>
            <w:pPr/>
            <w:r>
              <w:t xml:space="preserve">COO y Atención al Cliente</w:t>
            </w:r>
          </w:p>
        </w:tc>
        <w:tc>
          <w:tcPr>
            <w:tcW w:w="1659" w:type="dxa"/>
          </w:tcPr>
          <w:p>
            <w:pPr/>
            <w:r>
              <w:t xml:space="preserve">Anexo E</w:t>
            </w:r>
          </w:p>
        </w:tc>
      </w:tr>
      <w:tr>
        <w:tc>
          <w:tcPr>
            <w:tcW w:w="1946" w:type="dxa"/>
          </w:tcPr>
          <w:p>
            <w:pPr/>
            <w:r>
              <w:t xml:space="preserve">Datos y uso de IA generativa</w:t>
            </w:r>
          </w:p>
        </w:tc>
        <w:tc>
          <w:tcPr>
            <w:tcW w:w="4596" w:type="dxa"/>
          </w:tcPr>
          <w:p>
            <w:pPr/>
            <w:r>
              <w:t xml:space="preserve">Ley 25.326 y Convenio 108+, datos mínimos a proveedores, evaluación de impacto, uso interno de herramientas públicas</w:t>
            </w:r>
          </w:p>
        </w:tc>
        <w:tc>
          <w:tcPr>
            <w:tcW w:w="1159" w:type="dxa"/>
          </w:tcPr>
          <w:p>
            <w:pPr/>
            <w:r>
              <w:t xml:space="preserve">CISO y Legales</w:t>
            </w:r>
          </w:p>
        </w:tc>
        <w:tc>
          <w:tcPr>
            <w:tcW w:w="1659" w:type="dxa"/>
          </w:tcPr>
          <w:p>
            <w:pPr/>
            <w:r>
              <w:t xml:space="preserve">Anexo E</w:t>
            </w:r>
          </w:p>
        </w:tc>
      </w:tr>
      <w:tr>
        <w:tc>
          <w:tcPr>
            <w:tcW w:w="1946" w:type="dxa"/>
          </w:tcPr>
          <w:p>
            <w:pPr/>
            <w:r>
              <w:t xml:space="preserve">Medición de valor</w:t>
            </w:r>
          </w:p>
        </w:tc>
        <w:tc>
          <w:tcPr>
            <w:tcW w:w="4596" w:type="dxa"/>
          </w:tcPr>
          <w:p>
            <w:pPr/>
            <w:r>
              <w:t xml:space="preserve">Grupo de control del 10%, cálculo del ahorro sobre facturas, tablero de la métrica norte</w:t>
            </w:r>
          </w:p>
        </w:tc>
        <w:tc>
          <w:tcPr>
            <w:tcW w:w="1159" w:type="dxa"/>
          </w:tcPr>
          <w:p>
            <w:pPr/>
            <w:r>
              <w:t xml:space="preserve">CAIO y CFO</w:t>
            </w:r>
          </w:p>
        </w:tc>
        <w:tc>
          <w:tcPr>
            <w:tcW w:w="1659" w:type="dxa"/>
          </w:tcPr>
          <w:p>
            <w:pPr/>
            <w:r>
              <w:t xml:space="preserve">Anexos B y E</w:t>
            </w:r>
          </w:p>
        </w:tc>
      </w:tr>
    </w:tbl>
    <w:p>
      <w:pPr>
        <w:pStyle w:val="Heading3"/>
      </w:pPr>
      <w:r>
        <w:t xml:space="preserve">Primeros 30 días después del board</w:t>
      </w:r>
    </w:p>
    <w:tbl>
      <w:tblPr>
        <w:tblStyle w:val="TableGrid"/>
        <w:tblW w:w="0" w:type="auto"/>
        <w:tblLayout w:type="fixed"/>
        <w:tblLook w:val="04A0" w:firstRow="1" w:lastRow="0" w:firstColumn="0" w:lastColumn="0" w:noHBand="0" w:noVBand="1"/>
      </w:tblPr>
      <w:tblGrid>
        <w:gridCol w:w="1127"/>
        <w:gridCol w:w="5166"/>
        <w:gridCol w:w="3065"/>
      </w:tblGrid>
      <w:tr>
        <w:trPr>
          <w:tblHeader/>
        </w:trPr>
        <w:tc>
          <w:tcPr>
            <w:tcW w:w="1127" w:type="dxa"/>
            <w:shd w:val="clear" w:color="auto" w:fill="F2F2F2"/>
          </w:tcPr>
          <w:p>
            <w:pPr/>
            <w:r>
              <w:t xml:space="preserve">Semana</w:t>
            </w:r>
          </w:p>
        </w:tc>
        <w:tc>
          <w:tcPr>
            <w:tcW w:w="5166" w:type="dxa"/>
            <w:shd w:val="clear" w:color="auto" w:fill="F2F2F2"/>
          </w:tcPr>
          <w:p>
            <w:pPr/>
            <w:r>
              <w:t xml:space="preserve">Acción</w:t>
            </w:r>
          </w:p>
        </w:tc>
        <w:tc>
          <w:tcPr>
            <w:tcW w:w="3065" w:type="dxa"/>
            <w:shd w:val="clear" w:color="auto" w:fill="F2F2F2"/>
          </w:tcPr>
          <w:p>
            <w:pPr/>
            <w:r>
              <w:t xml:space="preserve">Responsable</w:t>
            </w:r>
          </w:p>
        </w:tc>
      </w:tr>
      <w:tr>
        <w:tc>
          <w:tcPr>
            <w:tcW w:w="1127" w:type="dxa"/>
          </w:tcPr>
          <w:p>
            <w:pPr/>
            <w:r>
              <w:t xml:space="preserve">1</w:t>
            </w:r>
          </w:p>
        </w:tc>
        <w:tc>
          <w:tcPr>
            <w:tcW w:w="5166" w:type="dxa"/>
          </w:tcPr>
          <w:p>
            <w:pPr/>
            <w:r>
              <w:t xml:space="preserve">Comunicación interna del CEO y el COO sobre el plan y el compromiso de no despidos</w:t>
            </w:r>
          </w:p>
        </w:tc>
        <w:tc>
          <w:tcPr>
            <w:tcW w:w="3065" w:type="dxa"/>
          </w:tcPr>
          <w:p>
            <w:pPr/>
            <w:r>
              <w:t xml:space="preserve">CEO, COO, Change Lead</w:t>
            </w:r>
          </w:p>
        </w:tc>
      </w:tr>
      <w:tr>
        <w:tc>
          <w:tcPr>
            <w:tcW w:w="1127" w:type="dxa"/>
          </w:tcPr>
          <w:p>
            <w:pPr/>
            <w:r>
              <w:t xml:space="preserve">1</w:t>
            </w:r>
          </w:p>
        </w:tc>
        <w:tc>
          <w:tcPr>
            <w:tcW w:w="5166" w:type="dxa"/>
          </w:tcPr>
          <w:p>
            <w:pPr/>
            <w:r>
              <w:t xml:space="preserve">Primera sesión del comité de IA; aprobación de su reglamento</w:t>
            </w:r>
          </w:p>
        </w:tc>
        <w:tc>
          <w:tcPr>
            <w:tcW w:w="3065" w:type="dxa"/>
          </w:tcPr>
          <w:p>
            <w:pPr/>
            <w:r>
              <w:t xml:space="preserve">CAIO</w:t>
            </w:r>
          </w:p>
        </w:tc>
      </w:tr>
      <w:tr>
        <w:tc>
          <w:tcPr>
            <w:tcW w:w="1127" w:type="dxa"/>
          </w:tcPr>
          <w:p>
            <w:pPr/>
            <w:r>
              <w:t xml:space="preserve">1–2</w:t>
            </w:r>
          </w:p>
        </w:tc>
        <w:tc>
          <w:tcPr>
            <w:tcW w:w="5166" w:type="dxa"/>
          </w:tcPr>
          <w:p>
            <w:pPr/>
            <w:r>
              <w:t xml:space="preserve">Apertura de la mesa con el gremio</w:t>
            </w:r>
          </w:p>
        </w:tc>
        <w:tc>
          <w:tcPr>
            <w:tcW w:w="3065" w:type="dxa"/>
          </w:tcPr>
          <w:p>
            <w:pPr/>
            <w:r>
              <w:t xml:space="preserve">RR.HH., Change Lead</w:t>
            </w:r>
          </w:p>
        </w:tc>
      </w:tr>
      <w:tr>
        <w:tc>
          <w:tcPr>
            <w:tcW w:w="1127" w:type="dxa"/>
          </w:tcPr>
          <w:p>
            <w:pPr/>
            <w:r>
              <w:t xml:space="preserve">2</w:t>
            </w:r>
          </w:p>
        </w:tc>
        <w:tc>
          <w:tcPr>
            <w:tcW w:w="5166" w:type="dxa"/>
          </w:tcPr>
          <w:p>
            <w:pPr/>
            <w:r>
              <w:t xml:space="preserve">Ofertas a PM técnico, PM de negocio, Data Lead y Change Lead</w:t>
            </w:r>
          </w:p>
        </w:tc>
        <w:tc>
          <w:tcPr>
            <w:tcW w:w="3065" w:type="dxa"/>
          </w:tcPr>
          <w:p>
            <w:pPr/>
            <w:r>
              <w:t xml:space="preserve">CAIO, RR.HH.</w:t>
            </w:r>
          </w:p>
        </w:tc>
      </w:tr>
      <w:tr>
        <w:tc>
          <w:tcPr>
            <w:tcW w:w="1127" w:type="dxa"/>
          </w:tcPr>
          <w:p>
            <w:pPr/>
            <w:r>
              <w:t xml:space="preserve">2–3</w:t>
            </w:r>
          </w:p>
        </w:tc>
        <w:tc>
          <w:tcPr>
            <w:tcW w:w="5166" w:type="dxa"/>
          </w:tcPr>
          <w:p>
            <w:pPr/>
            <w:r>
              <w:t xml:space="preserve">Contratos con proveedores de modelos y gateway, con cláusulas de datos</w:t>
            </w:r>
          </w:p>
        </w:tc>
        <w:tc>
          <w:tcPr>
            <w:tcW w:w="3065" w:type="dxa"/>
          </w:tcPr>
          <w:p>
            <w:pPr/>
            <w:r>
              <w:t xml:space="preserve">CTO/CIO, Legales, CISO</w:t>
            </w:r>
          </w:p>
        </w:tc>
      </w:tr>
      <w:tr>
        <w:tc>
          <w:tcPr>
            <w:tcW w:w="1127" w:type="dxa"/>
          </w:tcPr>
          <w:p>
            <w:pPr/>
            <w:r>
              <w:t xml:space="preserve">3</w:t>
            </w:r>
          </w:p>
        </w:tc>
        <w:tc>
          <w:tcPr>
            <w:tcW w:w="5166" w:type="dxa"/>
          </w:tcPr>
          <w:p>
            <w:pPr/>
            <w:r>
              <w:t xml:space="preserve">Acceso del equipo a FSM y CRM; inicio de la capa de datos</w:t>
            </w:r>
          </w:p>
        </w:tc>
        <w:tc>
          <w:tcPr>
            <w:tcW w:w="3065" w:type="dxa"/>
          </w:tcPr>
          <w:p>
            <w:pPr/>
            <w:r>
              <w:t xml:space="preserve">CTO/CIO, Data Lead</w:t>
            </w:r>
          </w:p>
        </w:tc>
      </w:tr>
      <w:tr>
        <w:tc>
          <w:tcPr>
            <w:tcW w:w="1127" w:type="dxa"/>
          </w:tcPr>
          <w:p>
            <w:pPr/>
            <w:r>
              <w:t xml:space="preserve">3–4</w:t>
            </w:r>
          </w:p>
        </w:tc>
        <w:tc>
          <w:tcPr>
            <w:tcW w:w="5166" w:type="dxa"/>
          </w:tcPr>
          <w:p>
            <w:pPr/>
            <w:r>
              <w:t xml:space="preserve">Evaluación de impacto del aviso proactivo y del triage en modo sombra</w:t>
            </w:r>
          </w:p>
        </w:tc>
        <w:tc>
          <w:tcPr>
            <w:tcW w:w="3065" w:type="dxa"/>
          </w:tcPr>
          <w:p>
            <w:pPr/>
            <w:r>
              <w:t xml:space="preserve">CISO, Data Lead</w:t>
            </w:r>
          </w:p>
        </w:tc>
      </w:tr>
      <w:tr>
        <w:tc>
          <w:tcPr>
            <w:tcW w:w="1127" w:type="dxa"/>
          </w:tcPr>
          <w:p>
            <w:pPr/>
            <w:r>
              <w:t xml:space="preserve">4</w:t>
            </w:r>
          </w:p>
        </w:tc>
        <w:tc>
          <w:tcPr>
            <w:tcW w:w="5166" w:type="dxa"/>
          </w:tcPr>
          <w:p>
            <w:pPr/>
            <w:r>
              <w:t xml:space="preserve">Línea de base de la métrica norte y asignación del grupo de control</w:t>
            </w:r>
          </w:p>
        </w:tc>
        <w:tc>
          <w:tcPr>
            <w:tcW w:w="3065" w:type="dxa"/>
          </w:tcPr>
          <w:p>
            <w:pPr/>
            <w:r>
              <w:t xml:space="preserve">Analista de valor, CFO</w:t>
            </w:r>
          </w:p>
        </w:tc>
      </w:tr>
      <w:tr>
        <w:tc>
          <w:tcPr>
            <w:tcW w:w="1127" w:type="dxa"/>
          </w:tcPr>
          <w:p>
            <w:pPr/>
            <w:r>
              <w:t xml:space="preserve">4</w:t>
            </w:r>
          </w:p>
        </w:tc>
        <w:tc>
          <w:tcPr>
            <w:tcW w:w="5166" w:type="dxa"/>
          </w:tcPr>
          <w:p>
            <w:pPr/>
            <w:r>
              <w:t xml:space="preserve">Comunicación del plan a las empresas contratistas</w:t>
            </w:r>
          </w:p>
        </w:tc>
        <w:tc>
          <w:tcPr>
            <w:tcW w:w="3065" w:type="dxa"/>
          </w:tcPr>
          <w:p>
            <w:pPr/>
            <w:r>
              <w:t xml:space="preserve">COO, Compras</w:t>
            </w:r>
          </w:p>
        </w:tc>
      </w:tr>
    </w:tbl>
    <w:p>
      <w:pPr>
        <w:pStyle w:val="Heading3"/>
      </w:pPr>
      <w:r>
        <w:t xml:space="preserve">Fuentes</w:t>
      </w:r>
    </w:p>
    <w:p>
      <w:pPr>
        <w:pStyle w:val="ListParagraph"/>
        <w:numPr>
          <w:ilvl w:val="0"/>
          <w:numId w:val="21"/>
        </w:numPr>
      </w:pPr>
      <w:hyperlink r:id="rId4" w:history="1">
        <w:r>
          <w:rPr>
            <w:rStyle w:val="Hyperlink"/>
          </w:rPr>
          <w:t xml:space="preserve">Aprobación del Convenio 108+ por el Congreso (Ley 27.699)</w:t>
        </w:r>
      </w:hyperlink>
      <w:r>
        <w:t xml:space="preserve">, Estudio O'Farrell.</w:t>
      </w:r>
    </w:p>
    <w:p>
      <w:pPr>
        <w:pStyle w:val="ListParagraph"/>
        <w:numPr>
          <w:ilvl w:val="0"/>
          <w:numId w:val="21"/>
        </w:numPr>
      </w:pPr>
      <w:hyperlink r:id="rId5" w:history="1">
        <w:r>
          <w:rPr>
            <w:rStyle w:val="Hyperlink"/>
          </w:rPr>
          <w:t xml:space="preserve">Promulgación de la Ley 27.699</w:t>
        </w:r>
      </w:hyperlink>
      <w:r>
        <w:t xml:space="preserve">, abogados.com.ar.</w:t>
      </w:r>
    </w:p>
    <w:p>
      <w:pPr>
        <w:pStyle w:val="ListParagraph"/>
        <w:numPr>
          <w:ilvl w:val="0"/>
          <w:numId w:val="21"/>
        </w:numPr>
      </w:pPr>
      <w:r>
        <w:t xml:space="preserve">Cifras del caso: modelo financiero de este documento (anexo B), sobre los supuestos de la presentación FieldOps IA.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2"/>
    </w:lvlOverride>
  </w:num>
  <w:num w:numId="8">
    <w:abstractNumId w:val="1"/>
    <w:lvlOverride w:ilvl="0">
      <w:startOverride w:val="6"/>
    </w:lvlOverride>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0"/>
  </w:num>
  <w:num w:numId="19">
    <w:abstractNumId w:val="1"/>
    <w:lvlOverride w:ilvl="0">
      <w:startOverride w:val="1"/>
    </w:lvlOverride>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estudio-ofarrell.com/el-congreso-de-la-nacion-aprobo-el-convenio-108-sobre-proteccion-de-las-personas-con-respecto-al-tratamiento-automatizado-de-datos-personales" TargetMode="External"/><Relationship Id="rId5" Type="http://schemas.openxmlformats.org/officeDocument/2006/relationships/hyperlink" Target="https://abogados.com.ar/promulgacion-de-la-ley-27699-de-adhesion-al-convenio-108-en-materia-de-proteccion-de-datos-personales/3173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FieldOps IA · Anexos A–I del Plan Maestro CAIO</dc:title>
  <dc:description>Claude Docs node/3e115b3f-2dc0@19 docx-w7</dc:description>
  <cp:revision>19</cp:revision>
</cp:coreProperties>
</file>