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r>
        <w:rPr>
          <w:rFonts w:ascii="Noto Sans CJK KR" w:hAnsi="Noto Sans CJK KR" w:eastAsia="Noto Sans CJK KR" w:cs="Noto Sans CJK KR"/>
          <w:b/>
          <w:color w:val="000000"/>
          <w:sz w:val="30"/>
        </w:rPr>
        <w:t>HJAIframework</w:t>
      </w:r>
    </w:p>
    <w:p>
      <w:pPr>
        <w:pStyle w:val="Title"/>
      </w:pPr>
      <w:r>
        <w:rPr>
          <w:rFonts w:ascii="Noto Sans CJK KR" w:hAnsi="Noto Sans CJK KR" w:eastAsia="Noto Sans CJK KR" w:cs="Noto Sans CJK KR"/>
          <w:color w:val="000000"/>
          <w:sz w:val="58"/>
        </w:rPr>
        <w:t>HJ AI플랫폼</w:t>
      </w:r>
      <w:r>
        <w:br/>
      </w:r>
      <w:r>
        <w:rPr>
          <w:rFonts w:ascii="Noto Sans CJK KR" w:hAnsi="Noto Sans CJK KR" w:eastAsia="Noto Sans CJK KR" w:cs="Noto Sans CJK KR"/>
          <w:color w:val="000000"/>
          <w:sz w:val="58"/>
        </w:rPr>
        <w:t>전환방향 보고서</w:t>
      </w:r>
    </w:p>
    <w:p>
      <w:pPr>
        <w:pStyle w:val="Subtitle"/>
      </w:pPr>
      <w:r>
        <w:rPr>
          <w:rFonts w:ascii="Noto Sans CJK KR" w:hAnsi="Noto Sans CJK KR" w:eastAsia="Noto Sans CJK KR" w:cs="Noto Sans CJK KR"/>
          <w:color w:val="000000"/>
        </w:rPr>
        <w:t>기업 업무시스템과 AI Agent의 공통 기반 설계</w:t>
      </w:r>
    </w:p>
    <w:p>
      <w:pPr>
        <w:spacing w:before="240"/>
      </w:pPr>
      <w:r>
        <w:rPr>
          <w:rFonts w:ascii="Noto Sans CJK KR" w:hAnsi="Noto Sans CJK KR" w:eastAsia="Noto Sans CJK KR" w:cs="Noto Sans CJK KR"/>
          <w:color w:val="000000"/>
          <w:sz w:val="21"/>
        </w:rPr>
        <w:t>문서번호  HJ AIP 001</w:t>
        <w:br/>
        <w:t>버전  1.0</w:t>
        <w:br/>
        <w:t>발행일  2026년 10월 20일</w:t>
        <w:br/>
        <w:t>발행  HJ</w:t>
        <w:br/>
        <w:t>배포  홈페이지 자료실 공개용</w:t>
      </w:r>
    </w:p>
    <w:p>
      <w:pPr>
        <w:spacing w:before="320"/>
      </w:pPr>
      <w:r>
        <w:rPr>
          <w:rFonts w:ascii="Noto Sans CJK KR" w:hAnsi="Noto Sans CJK KR" w:eastAsia="Noto Sans CJK KR" w:cs="Noto Sans CJK KR"/>
          <w:color w:val="000000"/>
        </w:rPr>
        <w:t>본 보고서는 Spring 및 전자정부프레임워크 기반 기업 IT를 확장하여 업무시스템, AI 서비스, 개발과 운영의 공통 기준을 수립하는 방향을 제시한다. ERP, 구매, 생산, 연구관리 등 여러 프로젝트에서 재사용할 HJAIframework의 적용 범위와 도입 순서를 정의한다.</w:t>
      </w:r>
    </w:p>
    <w:p>
      <w:r>
        <w:rPr>
          <w:rFonts w:ascii="Noto Sans CJK KR" w:hAnsi="Noto Sans CJK KR" w:eastAsia="Noto Sans CJK KR" w:cs="Noto Sans CJK KR"/>
          <w:color w:val="000000"/>
        </w:rPr>
      </w:r>
      <w:r>
        <w:rPr>
          <w:rFonts w:ascii="Noto Sans CJK KR" w:hAnsi="Noto Sans CJK KR" w:eastAsia="Noto Sans CJK KR" w:cs="Noto Sans CJK KR"/>
          <w:b/>
          <w:color w:val="000000"/>
        </w:rPr>
        <w:t>주요 독자</w:t>
      </w:r>
      <w:r>
        <w:rPr>
          <w:rFonts w:ascii="Noto Sans CJK KR" w:hAnsi="Noto Sans CJK KR" w:eastAsia="Noto Sans CJK KR" w:cs="Noto Sans CJK KR"/>
          <w:color w:val="000000"/>
        </w:rPr>
        <w:t xml:space="preserve">  IT 기획 담당자, PM, 아키텍트, 개발 책임자, 운영 책임자</w:t>
      </w:r>
    </w:p>
    <w:p>
      <w:r>
        <w:rPr>
          <w:rFonts w:ascii="Noto Sans CJK KR" w:hAnsi="Noto Sans CJK KR" w:eastAsia="Noto Sans CJK KR" w:cs="Noto Sans CJK KR"/>
          <w:color w:val="000000"/>
        </w:rPr>
        <w:t>기존 업무서비스의 검증과 트랜잭션을 유지하면서 AI가 같은 서비스 계약을 이용하도록 설계한다. 초기에는 검색과 장애 분석으로 효과를 검증하고, 승인과 실행상태 관리가 갖춰진 업무부터 실행 자동화를 확대한다.</w:t>
      </w:r>
    </w:p>
    <w:p>
      <w:pPr>
        <w:pStyle w:val="Heading1"/>
        <w:pageBreakBefore/>
      </w:pPr>
      <w:r>
        <w:rPr>
          <w:rFonts w:ascii="Noto Sans CJK KR" w:hAnsi="Noto Sans CJK KR" w:eastAsia="Noto Sans CJK KR" w:cs="Noto Sans CJK KR"/>
          <w:color w:val="000000"/>
        </w:rPr>
        <w:t>문서 구성</w:t>
      </w:r>
    </w:p>
    <w:p>
      <w:r>
        <w:rPr>
          <w:rFonts w:ascii="Noto Sans CJK KR" w:hAnsi="Noto Sans CJK KR" w:eastAsia="Noto Sans CJK KR" w:cs="Noto Sans CJK KR"/>
          <w:color w:val="000000"/>
        </w:rPr>
        <w:t>각 장은 전환 의사결정과 실무 적용에 필요한 기준을 설명합니다. 절차서의 명령 예제는 표시된 실행 환경에서 사용합니다.</w:t>
      </w:r>
    </w:p>
    <w:p>
      <w:pPr>
        <w:tabs>
          <w:tab w:pos="9864" w:val="right"/>
        </w:tabs>
        <w:spacing w:after="80" w:line="360" w:lineRule="exact"/>
      </w:pPr>
      <w:r>
        <w:rPr>
          <w:rFonts w:ascii="Noto Sans CJK KR" w:hAnsi="Noto Sans CJK KR" w:eastAsia="Noto Sans CJK KR" w:cs="Noto Sans CJK KR"/>
          <w:color w:val="000000"/>
          <w:sz w:val="21"/>
        </w:rPr>
        <w:t>01   전환 목표와 적용 범위</w:t>
        <w:tab/>
        <w:t>3</w:t>
      </w:r>
    </w:p>
    <w:p>
      <w:pPr>
        <w:tabs>
          <w:tab w:pos="9864" w:val="right"/>
        </w:tabs>
        <w:spacing w:after="80" w:line="360" w:lineRule="exact"/>
      </w:pPr>
      <w:r>
        <w:rPr>
          <w:rFonts w:ascii="Noto Sans CJK KR" w:hAnsi="Noto Sans CJK KR" w:eastAsia="Noto Sans CJK KR" w:cs="Noto Sans CJK KR"/>
          <w:color w:val="000000"/>
          <w:sz w:val="21"/>
        </w:rPr>
        <w:t>02   공식 기술 동향과 설계 판단</w:t>
        <w:tab/>
        <w:t>4</w:t>
      </w:r>
    </w:p>
    <w:p>
      <w:pPr>
        <w:tabs>
          <w:tab w:pos="9864" w:val="right"/>
        </w:tabs>
        <w:spacing w:after="80" w:line="360" w:lineRule="exact"/>
      </w:pPr>
      <w:r>
        <w:rPr>
          <w:rFonts w:ascii="Noto Sans CJK KR" w:hAnsi="Noto Sans CJK KR" w:eastAsia="Noto Sans CJK KR" w:cs="Noto Sans CJK KR"/>
          <w:color w:val="000000"/>
          <w:sz w:val="21"/>
        </w:rPr>
        <w:t>03   참조 아키텍처와 업무 책임</w:t>
        <w:tab/>
        <w:t>5</w:t>
      </w:r>
    </w:p>
    <w:p>
      <w:pPr>
        <w:tabs>
          <w:tab w:pos="9864" w:val="right"/>
        </w:tabs>
        <w:spacing w:after="80" w:line="360" w:lineRule="exact"/>
      </w:pPr>
      <w:r>
        <w:rPr>
          <w:rFonts w:ascii="Noto Sans CJK KR" w:hAnsi="Noto Sans CJK KR" w:eastAsia="Noto Sans CJK KR" w:cs="Noto Sans CJK KR"/>
          <w:color w:val="000000"/>
          <w:sz w:val="21"/>
        </w:rPr>
        <w:t>04   공통 모듈과 확장 지점</w:t>
        <w:tab/>
        <w:t>6</w:t>
      </w:r>
    </w:p>
    <w:p>
      <w:pPr>
        <w:tabs>
          <w:tab w:pos="9864" w:val="right"/>
        </w:tabs>
        <w:spacing w:after="80" w:line="360" w:lineRule="exact"/>
      </w:pPr>
      <w:r>
        <w:rPr>
          <w:rFonts w:ascii="Noto Sans CJK KR" w:hAnsi="Noto Sans CJK KR" w:eastAsia="Noto Sans CJK KR" w:cs="Noto Sans CJK KR"/>
          <w:color w:val="000000"/>
          <w:sz w:val="21"/>
        </w:rPr>
        <w:t>05   API Tool과 Agent 실행 계약</w:t>
        <w:tab/>
        <w:t>7</w:t>
      </w:r>
    </w:p>
    <w:p>
      <w:pPr>
        <w:tabs>
          <w:tab w:pos="9864" w:val="right"/>
        </w:tabs>
        <w:spacing w:after="80" w:line="360" w:lineRule="exact"/>
      </w:pPr>
      <w:r>
        <w:rPr>
          <w:rFonts w:ascii="Noto Sans CJK KR" w:hAnsi="Noto Sans CJK KR" w:eastAsia="Noto Sans CJK KR" w:cs="Noto Sans CJK KR"/>
          <w:color w:val="000000"/>
          <w:sz w:val="21"/>
        </w:rPr>
        <w:t>06   데이터 지식과 기억의 관리</w:t>
        <w:tab/>
        <w:t>8</w:t>
      </w:r>
    </w:p>
    <w:p>
      <w:pPr>
        <w:tabs>
          <w:tab w:pos="9864" w:val="right"/>
        </w:tabs>
        <w:spacing w:after="80" w:line="360" w:lineRule="exact"/>
      </w:pPr>
      <w:r>
        <w:rPr>
          <w:rFonts w:ascii="Noto Sans CJK KR" w:hAnsi="Noto Sans CJK KR" w:eastAsia="Noto Sans CJK KR" w:cs="Noto Sans CJK KR"/>
          <w:color w:val="000000"/>
          <w:sz w:val="21"/>
        </w:rPr>
        <w:t>07   AI를 활용한 개발 표준</w:t>
        <w:tab/>
        <w:t>9</w:t>
      </w:r>
    </w:p>
    <w:p>
      <w:pPr>
        <w:tabs>
          <w:tab w:pos="9864" w:val="right"/>
        </w:tabs>
        <w:spacing w:after="80" w:line="360" w:lineRule="exact"/>
      </w:pPr>
      <w:r>
        <w:rPr>
          <w:rFonts w:ascii="Noto Sans CJK KR" w:hAnsi="Noto Sans CJK KR" w:eastAsia="Noto Sans CJK KR" w:cs="Noto Sans CJK KR"/>
          <w:color w:val="000000"/>
          <w:sz w:val="21"/>
        </w:rPr>
        <w:t>08   배포와 기존 시스템 연계</w:t>
        <w:tab/>
        <w:t>10</w:t>
      </w:r>
    </w:p>
    <w:p>
      <w:pPr>
        <w:tabs>
          <w:tab w:pos="9864" w:val="right"/>
        </w:tabs>
        <w:spacing w:after="80" w:line="360" w:lineRule="exact"/>
      </w:pPr>
      <w:r>
        <w:rPr>
          <w:rFonts w:ascii="Noto Sans CJK KR" w:hAnsi="Noto Sans CJK KR" w:eastAsia="Noto Sans CJK KR" w:cs="Noto Sans CJK KR"/>
          <w:color w:val="000000"/>
          <w:sz w:val="21"/>
        </w:rPr>
        <w:t>09   권한 운영과 장애 대응</w:t>
        <w:tab/>
        <w:t>11</w:t>
      </w:r>
    </w:p>
    <w:p>
      <w:pPr>
        <w:tabs>
          <w:tab w:pos="9864" w:val="right"/>
        </w:tabs>
        <w:spacing w:after="80" w:line="360" w:lineRule="exact"/>
      </w:pPr>
      <w:r>
        <w:rPr>
          <w:rFonts w:ascii="Noto Sans CJK KR" w:hAnsi="Noto Sans CJK KR" w:eastAsia="Noto Sans CJK KR" w:cs="Noto Sans CJK KR"/>
          <w:color w:val="000000"/>
          <w:sz w:val="21"/>
        </w:rPr>
        <w:t>10   도입 WBS와 단계별 산출물</w:t>
        <w:tab/>
        <w:t>12</w:t>
      </w:r>
    </w:p>
    <w:p>
      <w:pPr>
        <w:tabs>
          <w:tab w:pos="9864" w:val="right"/>
        </w:tabs>
        <w:spacing w:after="80" w:line="360" w:lineRule="exact"/>
      </w:pPr>
      <w:r>
        <w:rPr>
          <w:rFonts w:ascii="Noto Sans CJK KR" w:hAnsi="Noto Sans CJK KR" w:eastAsia="Noto Sans CJK KR" w:cs="Noto Sans CJK KR"/>
          <w:color w:val="000000"/>
          <w:sz w:val="21"/>
        </w:rPr>
        <w:t>11   파일럿 시나리오와 효과 측정</w:t>
        <w:tab/>
        <w:t>13</w:t>
      </w:r>
    </w:p>
    <w:p>
      <w:pPr>
        <w:tabs>
          <w:tab w:pos="9864" w:val="right"/>
        </w:tabs>
        <w:spacing w:after="80" w:line="360" w:lineRule="exact"/>
      </w:pPr>
      <w:r>
        <w:rPr>
          <w:rFonts w:ascii="Noto Sans CJK KR" w:hAnsi="Noto Sans CJK KR" w:eastAsia="Noto Sans CJK KR" w:cs="Noto Sans CJK KR"/>
          <w:color w:val="000000"/>
          <w:sz w:val="21"/>
        </w:rPr>
        <w:t>12   참고자료와 문서 활용</w:t>
        <w:tab/>
        <w:t>14</w:t>
      </w:r>
    </w:p>
    <w:p>
      <w:pPr>
        <w:pStyle w:val="Heading1"/>
        <w:pageBreakBefore/>
        <w:spacing w:before="0"/>
      </w:pPr>
      <w:r>
        <w:rPr>
          <w:rFonts w:ascii="Noto Sans CJK KR" w:hAnsi="Noto Sans CJK KR" w:eastAsia="Noto Sans CJK KR" w:cs="Noto Sans CJK KR"/>
          <w:color w:val="000000"/>
        </w:rPr>
        <w:t>1 전환 목표와 적용 범위</w:t>
      </w:r>
    </w:p>
    <w:p>
      <w:r>
        <w:rPr>
          <w:rFonts w:ascii="Noto Sans CJK KR" w:hAnsi="Noto Sans CJK KR" w:eastAsia="Noto Sans CJK KR" w:cs="Noto Sans CJK KR"/>
          <w:color w:val="000000"/>
        </w:rPr>
        <w:t>HJAIframework의 목표는 프로젝트가 달라져도 인증, 업무 연계, AI 실행, 검증, 배포 기준을 재사용하는 기업 IT 기반을 제공하는 것이다. 업무 규칙은 업무 모듈이 소유하고, 플랫폼은 그 모듈을 개발하고 운영하는 공통 기능과 계약을 제공한다.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84"/>
        <w:gridCol w:w="4320"/>
        <w:gridCol w:w="4118"/>
      </w:tblGrid>
      <w:tr>
        <w:trPr>
          <w:cantSplit/>
          <w:tblHeader/>
        </w:trPr>
        <w:tc>
          <w:tcPr>
            <w:tcW w:type="dxa" w:w="1584"/>
            <w:vAlign w:val="center"/>
            <w:tcMar>
              <w:top w:w="85" w:type="dxa"/>
              <w:bottom w:w="85" w:type="dxa"/>
              <w:left w:w="105" w:type="dxa"/>
              <w:right w:w="105" w:type="dxa"/>
            </w:tcMar>
            <w:shd w:fill="203F57"/>
          </w:tcPr>
          <w:p>
            <w:pPr>
              <w:keepNext w:val="0"/>
              <w:spacing w:after="0" w:line="278" w:lineRule="auto"/>
              <w:jc w:val="center"/>
            </w:pPr>
            <w:r>
              <w:rPr>
                <w:rFonts w:ascii="Noto Sans CJK KR" w:hAnsi="Noto Sans CJK KR" w:eastAsia="Noto Sans CJK KR" w:cs="Noto Sans CJK KR"/>
                <w:b/>
                <w:color w:val="FFFFFF"/>
                <w:sz w:val="20"/>
              </w:rPr>
              <w:t>구성 영역</w:t>
            </w:r>
          </w:p>
        </w:tc>
        <w:tc>
          <w:tcPr>
            <w:tcW w:type="dxa" w:w="4320"/>
            <w:vAlign w:val="center"/>
            <w:tcMar>
              <w:top w:w="85" w:type="dxa"/>
              <w:bottom w:w="85" w:type="dxa"/>
              <w:left w:w="105" w:type="dxa"/>
              <w:right w:w="105" w:type="dxa"/>
            </w:tcMar>
            <w:shd w:fill="203F57"/>
          </w:tcPr>
          <w:p>
            <w:pPr>
              <w:keepNext w:val="0"/>
              <w:spacing w:after="0" w:line="278" w:lineRule="auto"/>
            </w:pPr>
            <w:r>
              <w:rPr>
                <w:rFonts w:ascii="Noto Sans CJK KR" w:hAnsi="Noto Sans CJK KR" w:eastAsia="Noto Sans CJK KR" w:cs="Noto Sans CJK KR"/>
                <w:b/>
                <w:color w:val="FFFFFF"/>
                <w:sz w:val="20"/>
              </w:rPr>
              <w:t>공통 기준</w:t>
            </w:r>
          </w:p>
        </w:tc>
        <w:tc>
          <w:tcPr>
            <w:tcW w:type="dxa" w:w="4118"/>
            <w:vAlign w:val="center"/>
            <w:tcMar>
              <w:top w:w="85" w:type="dxa"/>
              <w:bottom w:w="85" w:type="dxa"/>
              <w:left w:w="105" w:type="dxa"/>
              <w:right w:w="105" w:type="dxa"/>
            </w:tcMar>
            <w:shd w:fill="203F57"/>
          </w:tcPr>
          <w:p>
            <w:pPr>
              <w:keepNext w:val="0"/>
              <w:spacing w:after="0" w:line="278" w:lineRule="auto"/>
            </w:pPr>
            <w:r>
              <w:rPr>
                <w:rFonts w:ascii="Noto Sans CJK KR" w:hAnsi="Noto Sans CJK KR" w:eastAsia="Noto Sans CJK KR" w:cs="Noto Sans CJK KR"/>
                <w:b/>
                <w:color w:val="FFFFFF"/>
                <w:sz w:val="20"/>
              </w:rPr>
              <w:t>업무별 확장</w:t>
            </w:r>
          </w:p>
        </w:tc>
      </w:tr>
      <w:tr>
        <w:trPr>
          <w:cantSplit/>
        </w:trPr>
        <w:tc>
          <w:tcPr>
            <w:tcW w:type="dxa" w:w="1584"/>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업무 플랫폼</w:t>
            </w:r>
          </w:p>
        </w:tc>
        <w:tc>
          <w:tcPr>
            <w:tcW w:type="dxa" w:w="4320"/>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SSO, 권한, 메뉴, 코드, 파일, 승인, 감사</w:t>
            </w:r>
          </w:p>
        </w:tc>
        <w:tc>
          <w:tcPr>
            <w:tcW w:type="dxa" w:w="4118"/>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ERP, 자재, 구매, 생산, 연구 업무</w:t>
            </w:r>
          </w:p>
        </w:tc>
      </w:tr>
      <w:tr>
        <w:trPr>
          <w:cantSplit/>
        </w:trPr>
        <w:tc>
          <w:tcPr>
            <w:tcW w:type="dxa" w:w="1584"/>
            <w:vAlign w:val="center"/>
            <w:tcMar>
              <w:top w:w="85" w:type="dxa"/>
              <w:bottom w:w="85" w:type="dxa"/>
              <w:left w:w="105" w:type="dxa"/>
              <w:right w:w="105" w:type="dxa"/>
            </w:tcMar>
            <w:shd w:fill="F1F5F8"/>
          </w:tcPr>
          <w:p>
            <w:pPr>
              <w:keepNext w:val="0"/>
              <w:spacing w:after="0" w:line="278" w:lineRule="auto"/>
              <w:jc w:val="center"/>
            </w:pPr>
            <w:r>
              <w:rPr>
                <w:rFonts w:ascii="Noto Sans CJK KR" w:hAnsi="Noto Sans CJK KR" w:eastAsia="Noto Sans CJK KR" w:cs="Noto Sans CJK KR"/>
                <w:b w:val="0"/>
                <w:color w:val="000000"/>
                <w:sz w:val="20"/>
              </w:rPr>
              <w:t>AI와 Agent</w:t>
            </w:r>
          </w:p>
        </w:tc>
        <w:tc>
          <w:tcPr>
            <w:tcW w:type="dxa" w:w="4320"/>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모델 연결, Tool, 검색, 실행상태, 평가</w:t>
            </w:r>
          </w:p>
        </w:tc>
        <w:tc>
          <w:tcPr>
            <w:tcW w:type="dxa" w:w="4118"/>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업무별 Assistant, Agent, 지식자료</w:t>
            </w:r>
          </w:p>
        </w:tc>
      </w:tr>
      <w:tr>
        <w:trPr>
          <w:cantSplit/>
        </w:trPr>
        <w:tc>
          <w:tcPr>
            <w:tcW w:type="dxa" w:w="1584"/>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개발 환경</w:t>
            </w:r>
          </w:p>
        </w:tc>
        <w:tc>
          <w:tcPr>
            <w:tcW w:type="dxa" w:w="4320"/>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템플릿, 명세, 규칙, 테스트, 리뷰</w:t>
            </w:r>
          </w:p>
        </w:tc>
        <w:tc>
          <w:tcPr>
            <w:tcW w:type="dxa" w:w="4118"/>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화면, 업무 로직, 연계 구현</w:t>
            </w:r>
          </w:p>
        </w:tc>
      </w:tr>
      <w:tr>
        <w:trPr>
          <w:cantSplit/>
        </w:trPr>
        <w:tc>
          <w:tcPr>
            <w:tcW w:type="dxa" w:w="1584"/>
            <w:vAlign w:val="center"/>
            <w:tcMar>
              <w:top w:w="85" w:type="dxa"/>
              <w:bottom w:w="85" w:type="dxa"/>
              <w:left w:w="105" w:type="dxa"/>
              <w:right w:w="105" w:type="dxa"/>
            </w:tcMar>
            <w:shd w:fill="F1F5F8"/>
          </w:tcPr>
          <w:p>
            <w:pPr>
              <w:keepNext w:val="0"/>
              <w:spacing w:after="0" w:line="278" w:lineRule="auto"/>
              <w:jc w:val="center"/>
            </w:pPr>
            <w:r>
              <w:rPr>
                <w:rFonts w:ascii="Noto Sans CJK KR" w:hAnsi="Noto Sans CJK KR" w:eastAsia="Noto Sans CJK KR" w:cs="Noto Sans CJK KR"/>
                <w:b w:val="0"/>
                <w:color w:val="000000"/>
                <w:sz w:val="20"/>
              </w:rPr>
              <w:t>운영 환경</w:t>
            </w:r>
          </w:p>
        </w:tc>
        <w:tc>
          <w:tcPr>
            <w:tcW w:type="dxa" w:w="4320"/>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설정, 배포, 복구, 추적, 사용량</w:t>
            </w:r>
          </w:p>
        </w:tc>
        <w:tc>
          <w:tcPr>
            <w:tcW w:type="dxa" w:w="4118"/>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고객사 인프라와 운영정책</w:t>
            </w:r>
          </w:p>
        </w:tc>
      </w:tr>
    </w:tbl>
    <w:p>
      <w:pPr>
        <w:spacing w:after="0" w:before="0" w:line="80" w:lineRule="exact"/>
      </w:pPr>
      <w:r>
        <w:rPr>
          <w:rFonts w:ascii="Noto Sans CJK KR" w:hAnsi="Noto Sans CJK KR" w:eastAsia="Noto Sans CJK KR" w:cs="Noto Sans CJK KR"/>
          <w:color w:val="000000"/>
          <w:sz w:val="6"/>
        </w:rPr>
      </w:r>
    </w:p>
    <w:p>
      <w:pPr>
        <w:pStyle w:val="Heading2"/>
      </w:pPr>
      <w:r>
        <w:rPr>
          <w:rFonts w:ascii="Noto Sans CJK KR" w:hAnsi="Noto Sans CJK KR" w:eastAsia="Noto Sans CJK KR" w:cs="Noto Sans CJK KR"/>
          <w:color w:val="000000"/>
        </w:rPr>
        <w:t>적용 수준의 선택</w:t>
      </w:r>
    </w:p>
    <w:p>
      <w:r>
        <w:rPr>
          <w:rFonts w:ascii="Noto Sans CJK KR" w:hAnsi="Noto Sans CJK KR" w:eastAsia="Noto Sans CJK KR" w:cs="Noto Sans CJK KR"/>
          <w:color w:val="000000"/>
        </w:rPr>
        <w:t>일반 업무 프로젝트에는 업무 공통 기반을 적용한다. 문서 질의에는 지식검색과 모델 연결을 추가하고, 업무 실행에는 Tool 권한과 승인, 중복처리 방지를 추가한다. 모든 프로젝트가 모든 AI 기능을 설치하도록 강제하지 않는다.</w:t>
      </w:r>
    </w:p>
    <w:p>
      <w:pPr>
        <w:pStyle w:val="Heading2"/>
      </w:pPr>
      <w:r>
        <w:rPr>
          <w:rFonts w:ascii="Noto Sans CJK KR" w:hAnsi="Noto Sans CJK KR" w:eastAsia="Noto Sans CJK KR" w:cs="Noto Sans CJK KR"/>
          <w:color w:val="000000"/>
        </w:rPr>
        <w:t>설계와 검증의 구분</w:t>
      </w:r>
    </w:p>
    <w:p>
      <w:r>
        <w:rPr>
          <w:rFonts w:ascii="Noto Sans CJK KR" w:hAnsi="Noto Sans CJK KR" w:eastAsia="Noto Sans CJK KR" w:cs="Noto Sans CJK KR"/>
          <w:color w:val="000000"/>
        </w:rPr>
        <w:t>본 문서의 모듈명, 적용 수준, 완료 기준은 HJAIframework의 설계 기준이다. 구축 프로젝트는 이를 요구사항과 수용 기준에 연결한다. 적용 시 버전 호환성, 데이터 접근 범위와 업무별 효과를 검증 결과로 확정한다.</w:t>
      </w:r>
    </w:p>
    <w:p>
      <w:pPr>
        <w:pStyle w:val="Heading1"/>
        <w:pageBreakBefore/>
        <w:spacing w:before="0"/>
      </w:pPr>
      <w:r>
        <w:rPr>
          <w:rFonts w:ascii="Noto Sans CJK KR" w:hAnsi="Noto Sans CJK KR" w:eastAsia="Noto Sans CJK KR" w:cs="Noto Sans CJK KR"/>
          <w:color w:val="000000"/>
        </w:rPr>
        <w:t>2 공식 기술 동향과 설계 판단</w:t>
      </w:r>
    </w:p>
    <w:p>
      <w:r>
        <w:rPr>
          <w:rFonts w:ascii="Noto Sans CJK KR" w:hAnsi="Noto Sans CJK KR" w:eastAsia="Noto Sans CJK KR" w:cs="Noto Sans CJK KR"/>
          <w:color w:val="000000"/>
        </w:rPr>
        <w:t>기업 IT와 AI를 연결하는 구체적인 구현 수단이 제공되고 있다. 공식 자료에서 확인되는 기능과 HJAIframework가 선택할 설계 판단을 다음과 같이 연결한다. 확인 기준일은 2026년 10월 20일이다.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256"/>
        <w:gridCol w:w="4766"/>
      </w:tblGrid>
      <w:tr>
        <w:trPr>
          <w:cantSplit/>
          <w:tblHeader/>
        </w:trPr>
        <w:tc>
          <w:tcPr>
            <w:tcW w:type="dxa" w:w="5256"/>
            <w:vAlign w:val="center"/>
            <w:tcMar>
              <w:top w:w="85" w:type="dxa"/>
              <w:bottom w:w="85" w:type="dxa"/>
              <w:left w:w="105" w:type="dxa"/>
              <w:right w:w="105" w:type="dxa"/>
            </w:tcMar>
            <w:shd w:fill="203F57"/>
          </w:tcPr>
          <w:p>
            <w:pPr>
              <w:keepNext w:val="0"/>
              <w:spacing w:after="0" w:line="278" w:lineRule="auto"/>
            </w:pPr>
            <w:r>
              <w:rPr>
                <w:rFonts w:ascii="Noto Sans CJK KR" w:hAnsi="Noto Sans CJK KR" w:eastAsia="Noto Sans CJK KR" w:cs="Noto Sans CJK KR"/>
                <w:b/>
                <w:color w:val="FFFFFF"/>
                <w:sz w:val="20"/>
              </w:rPr>
              <w:t>공식 자료에서 확인한 사항</w:t>
            </w:r>
          </w:p>
        </w:tc>
        <w:tc>
          <w:tcPr>
            <w:tcW w:type="dxa" w:w="4766"/>
            <w:vAlign w:val="center"/>
            <w:tcMar>
              <w:top w:w="85" w:type="dxa"/>
              <w:bottom w:w="85" w:type="dxa"/>
              <w:left w:w="105" w:type="dxa"/>
              <w:right w:w="105" w:type="dxa"/>
            </w:tcMar>
            <w:shd w:fill="203F57"/>
          </w:tcPr>
          <w:p>
            <w:pPr>
              <w:keepNext w:val="0"/>
              <w:spacing w:after="0" w:line="278" w:lineRule="auto"/>
            </w:pPr>
            <w:r>
              <w:rPr>
                <w:rFonts w:ascii="Noto Sans CJK KR" w:hAnsi="Noto Sans CJK KR" w:eastAsia="Noto Sans CJK KR" w:cs="Noto Sans CJK KR"/>
                <w:b/>
                <w:color w:val="FFFFFF"/>
                <w:sz w:val="20"/>
              </w:rPr>
              <w:t>HJAIframework의 설계 판단</w:t>
            </w:r>
          </w:p>
        </w:tc>
      </w:tr>
      <w:tr>
        <w:trPr>
          <w:cantSplit/>
        </w:trPr>
        <w:tc>
          <w:tcPr>
            <w:tcW w:type="dxa" w:w="5256"/>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Spring AI는 모델 연결, RAG, Tool 호출과 관측 기능을 제공한다 [R1].</w:t>
            </w:r>
          </w:p>
        </w:tc>
        <w:tc>
          <w:tcPr>
            <w:tcW w:type="dxa" w:w="4766"/>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Java 업무서비스와 AI 서비스를 API 계약으로 연결한다.</w:t>
            </w:r>
          </w:p>
        </w:tc>
      </w:tr>
      <w:tr>
        <w:trPr>
          <w:cantSplit/>
        </w:trPr>
        <w:tc>
          <w:tcPr>
            <w:tcW w:type="dxa" w:w="5256"/>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SAP는 기존 기업시스템과 Joule의 기능 및 Agent를 통합하고 확장하는 참조 구조를 제공한다 [R2].</w:t>
            </w:r>
          </w:p>
        </w:tc>
        <w:tc>
          <w:tcPr>
            <w:tcW w:type="dxa" w:w="4766"/>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ERP와 연계 시스템의 업무 맥락과 권한을 재사용한다.</w:t>
            </w:r>
          </w:p>
        </w:tc>
      </w:tr>
      <w:tr>
        <w:trPr>
          <w:cantSplit/>
        </w:trPr>
        <w:tc>
          <w:tcPr>
            <w:tcW w:type="dxa" w:w="5256"/>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NIST는 Agent 상호운용성, 인증과 신원 기반을 표준화 및 연구 과제로 다룬다 [R3].</w:t>
            </w:r>
          </w:p>
        </w:tc>
        <w:tc>
          <w:tcPr>
            <w:tcW w:type="dxa" w:w="4766"/>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Agent 식별과 위임 범위, 실행 감사 기준을 공통 계약에 포함한다.</w:t>
            </w:r>
          </w:p>
        </w:tc>
      </w:tr>
      <w:tr>
        <w:trPr>
          <w:cantSplit/>
        </w:trPr>
        <w:tc>
          <w:tcPr>
            <w:tcW w:type="dxa" w:w="5256"/>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MCP는 Tool과 자원 연결을 규정하며 HTTP 전송의 인가 흐름을 정의한다 [R4].</w:t>
            </w:r>
          </w:p>
        </w:tc>
        <w:tc>
          <w:tcPr>
            <w:tcW w:type="dxa" w:w="4766"/>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MCP 어댑터와 업무 권한 검증을 함께 설계한다.</w:t>
            </w:r>
          </w:p>
        </w:tc>
      </w:tr>
    </w:tbl>
    <w:p>
      <w:pPr>
        <w:spacing w:after="0" w:before="0" w:line="80" w:lineRule="exact"/>
      </w:pPr>
      <w:r>
        <w:rPr>
          <w:rFonts w:ascii="Noto Sans CJK KR" w:hAnsi="Noto Sans CJK KR" w:eastAsia="Noto Sans CJK KR" w:cs="Noto Sans CJK KR"/>
          <w:color w:val="000000"/>
          <w:sz w:val="6"/>
        </w:rPr>
      </w:r>
    </w:p>
    <w:p>
      <w:r>
        <w:rPr>
          <w:rFonts w:ascii="Noto Sans CJK KR" w:hAnsi="Noto Sans CJK KR" w:eastAsia="Noto Sans CJK KR" w:cs="Noto Sans CJK KR"/>
          <w:color w:val="000000"/>
        </w:rPr>
        <w:t>위 사례는 기존 업무와 AI를 연결하는 설계를 뒷받침한다. 이들 자료만으로 특정 도입률, 생산성 향상률이나 HJAIframework의 성능을 산정할 수는 없다. 사업 효과는 같은 업무와 데이터에 대한 도입 전후 측정으로 확인한다.</w:t>
      </w:r>
    </w:p>
    <w:p>
      <w:r>
        <w:rPr>
          <w:rFonts w:ascii="Noto Sans CJK KR" w:hAnsi="Noto Sans CJK KR" w:eastAsia="Noto Sans CJK KR" w:cs="Noto Sans CJK KR"/>
          <w:color w:val="000000"/>
        </w:rPr>
        <w:t>10개 영역이나 4개 플랫폼이라는 구분은 본 설계를 설명하기 위한 논리적 분류다. 적용 제품과 배포 방식은 프로젝트의 기존 자산, 지원기간, 인력과 운영 조건에 맞춰 선정한다.</w:t>
      </w:r>
    </w:p>
    <w:p>
      <w:pPr>
        <w:pStyle w:val="Heading1"/>
        <w:pageBreakBefore/>
        <w:spacing w:before="0"/>
      </w:pPr>
      <w:r>
        <w:rPr>
          <w:rFonts w:ascii="Noto Sans CJK KR" w:hAnsi="Noto Sans CJK KR" w:eastAsia="Noto Sans CJK KR" w:cs="Noto Sans CJK KR"/>
          <w:color w:val="000000"/>
        </w:rPr>
        <w:t>3 참조 아키텍처와 업무 책임</w:t>
      </w:r>
    </w:p>
    <w:p>
      <w:r>
        <w:rPr>
          <w:rFonts w:ascii="Noto Sans CJK KR" w:hAnsi="Noto Sans CJK KR" w:eastAsia="Noto Sans CJK KR" w:cs="Noto Sans CJK KR"/>
          <w:color w:val="000000"/>
        </w:rPr>
        <w:t>사용자는 기존 업무 화면과 AI 대화를 함께 이용한다. 일반 업무는 업무 API로 처리하고, Agent의 실행 요청은 Tool 서비스에서 정책을 확인한 뒤 같은 업무서비스로 전달한다.</w:t>
      </w:r>
    </w:p>
    <w:p>
      <w:pPr>
        <w:keepNext/>
        <w:spacing w:line="240" w:lineRule="auto"/>
        <w:jc w:val="center"/>
      </w:pPr>
      <w:r>
        <w:drawing>
          <wp:inline xmlns:a="http://schemas.openxmlformats.org/drawingml/2006/main" xmlns:pic="http://schemas.openxmlformats.org/drawingml/2006/picture">
            <wp:extent cx="6263640" cy="3914775"/>
            <wp:docPr id="1" name="Picture 1" descr="그림 1  일반 업무 경로와 AI 업무 경로를 연결하는 참조 구조"/>
            <wp:cNvGraphicFramePr>
              <a:graphicFrameLocks noChangeAspect="1"/>
            </wp:cNvGraphicFramePr>
            <a:graphic>
              <a:graphicData uri="http://schemas.openxmlformats.org/drawingml/2006/picture">
                <pic:pic>
                  <pic:nvPicPr>
                    <pic:cNvPr id="0" name="runtime_architecture.png"/>
                    <pic:cNvPicPr/>
                  </pic:nvPicPr>
                  <pic:blipFill>
                    <a:blip r:embed="rId11"/>
                    <a:stretch>
                      <a:fillRect/>
                    </a:stretch>
                  </pic:blipFill>
                  <pic:spPr>
                    <a:xfrm>
                      <a:off x="0" y="0"/>
                      <a:ext cx="6263640" cy="3914775"/>
                    </a:xfrm>
                    <a:prstGeom prst="rect"/>
                  </pic:spPr>
                </pic:pic>
              </a:graphicData>
            </a:graphic>
          </wp:inline>
        </w:drawing>
      </w:r>
    </w:p>
    <w:p>
      <w:pPr>
        <w:pStyle w:val="Caption"/>
      </w:pPr>
      <w:r>
        <w:rPr>
          <w:rFonts w:ascii="Noto Sans CJK KR" w:hAnsi="Noto Sans CJK KR" w:eastAsia="Noto Sans CJK KR" w:cs="Noto Sans CJK KR"/>
          <w:color w:val="000000"/>
        </w:rPr>
        <w:t>그림 1  일반 업무 경로와 AI 업무 경로를 연결하는 참조 구조</w:t>
      </w:r>
    </w:p>
    <w:p>
      <w:r>
        <w:rPr>
          <w:rFonts w:ascii="Noto Sans CJK KR" w:hAnsi="Noto Sans CJK KR" w:eastAsia="Noto Sans CJK KR" w:cs="Noto Sans CJK KR"/>
          <w:color w:val="000000"/>
        </w:rPr>
        <w:t>업무서비스가 최종 권한, 상태 전이와 트랜잭션을 검증한다. 검색 결과와 AI 출력은 업무 결정을 지원하는 입력으로 취급한다. 변경 작업을 실행할 때는 대상 데이터의 최신 상태를 다시 확인한다.</w:t>
      </w:r>
    </w:p>
    <w:p>
      <w:r>
        <w:rPr>
          <w:rFonts w:ascii="Noto Sans CJK KR" w:hAnsi="Noto Sans CJK KR" w:eastAsia="Noto Sans CJK KR" w:cs="Noto Sans CJK KR"/>
          <w:color w:val="000000"/>
        </w:rPr>
        <w:t>AI 서비스에 장애가 발생해도 일반 업무 경로를 계속 제공하도록 장애 범위를 분리한다. 외부 모델 연결과 내부 모델 연결에는 같은 사용 정책과 기록 기준을 적용한다.</w:t>
      </w:r>
    </w:p>
    <w:p>
      <w:pPr>
        <w:pStyle w:val="Heading1"/>
        <w:pageBreakBefore/>
        <w:spacing w:before="0"/>
      </w:pPr>
      <w:r>
        <w:rPr>
          <w:rFonts w:ascii="Noto Sans CJK KR" w:hAnsi="Noto Sans CJK KR" w:eastAsia="Noto Sans CJK KR" w:cs="Noto Sans CJK KR"/>
          <w:color w:val="000000"/>
        </w:rPr>
        <w:t>4 공통 모듈과 확장 지점</w:t>
      </w:r>
    </w:p>
    <w:p>
      <w:r>
        <w:rPr>
          <w:rFonts w:ascii="Noto Sans CJK KR" w:hAnsi="Noto Sans CJK KR" w:eastAsia="Noto Sans CJK KR" w:cs="Noto Sans CJK KR"/>
          <w:color w:val="000000"/>
        </w:rPr>
        <w:t>다음 모듈 구분은 책임을 나누기 위한 기준이다. 초기에는 한 저장소와 소수의 실행 서비스로 구성할 수 있으며, 규모가 커지면 같은 계약을 유지하면서 배포 단위를 나눈다.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440"/>
        <w:gridCol w:w="3960"/>
        <w:gridCol w:w="4622"/>
      </w:tblGrid>
      <w:tr>
        <w:trPr>
          <w:cantSplit/>
          <w:tblHeader/>
        </w:trPr>
        <w:tc>
          <w:tcPr>
            <w:tcW w:type="dxa" w:w="1440"/>
            <w:vAlign w:val="center"/>
            <w:tcMar>
              <w:top w:w="85" w:type="dxa"/>
              <w:bottom w:w="85" w:type="dxa"/>
              <w:left w:w="105" w:type="dxa"/>
              <w:right w:w="105" w:type="dxa"/>
            </w:tcMar>
            <w:shd w:fill="203F57"/>
          </w:tcPr>
          <w:p>
            <w:pPr>
              <w:keepNext w:val="0"/>
              <w:spacing w:after="0" w:line="278" w:lineRule="auto"/>
              <w:jc w:val="center"/>
            </w:pPr>
            <w:r>
              <w:rPr>
                <w:rFonts w:ascii="Noto Sans CJK KR" w:hAnsi="Noto Sans CJK KR" w:eastAsia="Noto Sans CJK KR" w:cs="Noto Sans CJK KR"/>
                <w:b/>
                <w:color w:val="FFFFFF"/>
                <w:sz w:val="20"/>
              </w:rPr>
              <w:t>영역</w:t>
            </w:r>
          </w:p>
        </w:tc>
        <w:tc>
          <w:tcPr>
            <w:tcW w:type="dxa" w:w="3960"/>
            <w:vAlign w:val="center"/>
            <w:tcMar>
              <w:top w:w="85" w:type="dxa"/>
              <w:bottom w:w="85" w:type="dxa"/>
              <w:left w:w="105" w:type="dxa"/>
              <w:right w:w="105" w:type="dxa"/>
            </w:tcMar>
            <w:shd w:fill="203F57"/>
          </w:tcPr>
          <w:p>
            <w:pPr>
              <w:keepNext w:val="0"/>
              <w:spacing w:after="0" w:line="278" w:lineRule="auto"/>
            </w:pPr>
            <w:r>
              <w:rPr>
                <w:rFonts w:ascii="Noto Sans CJK KR" w:hAnsi="Noto Sans CJK KR" w:eastAsia="Noto Sans CJK KR" w:cs="Noto Sans CJK KR"/>
                <w:b/>
                <w:color w:val="FFFFFF"/>
                <w:sz w:val="20"/>
              </w:rPr>
              <w:t>공통 모듈</w:t>
            </w:r>
          </w:p>
        </w:tc>
        <w:tc>
          <w:tcPr>
            <w:tcW w:type="dxa" w:w="4622"/>
            <w:vAlign w:val="center"/>
            <w:tcMar>
              <w:top w:w="85" w:type="dxa"/>
              <w:bottom w:w="85" w:type="dxa"/>
              <w:left w:w="105" w:type="dxa"/>
              <w:right w:w="105" w:type="dxa"/>
            </w:tcMar>
            <w:shd w:fill="203F57"/>
          </w:tcPr>
          <w:p>
            <w:pPr>
              <w:keepNext w:val="0"/>
              <w:spacing w:after="0" w:line="278" w:lineRule="auto"/>
            </w:pPr>
            <w:r>
              <w:rPr>
                <w:rFonts w:ascii="Noto Sans CJK KR" w:hAnsi="Noto Sans CJK KR" w:eastAsia="Noto Sans CJK KR" w:cs="Noto Sans CJK KR"/>
                <w:b/>
                <w:color w:val="FFFFFF"/>
                <w:sz w:val="20"/>
              </w:rPr>
              <w:t>확장 또는 교체 지점</w:t>
            </w:r>
          </w:p>
        </w:tc>
      </w:tr>
      <w:tr>
        <w:trPr>
          <w:cantSplit/>
        </w:trPr>
        <w:tc>
          <w:tcPr>
            <w:tcW w:type="dxa" w:w="1440"/>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화면</w:t>
            </w:r>
          </w:p>
        </w:tc>
        <w:tc>
          <w:tcPr>
            <w:tcW w:type="dxa" w:w="3960"/>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포털, 메뉴, 공통 컴포넌트</w:t>
            </w:r>
          </w:p>
        </w:tc>
        <w:tc>
          <w:tcPr>
            <w:tcW w:type="dxa" w:w="4622"/>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업무 화면, 모바일 표시 방식</w:t>
            </w:r>
          </w:p>
        </w:tc>
      </w:tr>
      <w:tr>
        <w:trPr>
          <w:cantSplit/>
        </w:trPr>
        <w:tc>
          <w:tcPr>
            <w:tcW w:type="dxa" w:w="1440"/>
            <w:vAlign w:val="center"/>
            <w:tcMar>
              <w:top w:w="85" w:type="dxa"/>
              <w:bottom w:w="85" w:type="dxa"/>
              <w:left w:w="105" w:type="dxa"/>
              <w:right w:w="105" w:type="dxa"/>
            </w:tcMar>
            <w:shd w:fill="F1F5F8"/>
          </w:tcPr>
          <w:p>
            <w:pPr>
              <w:keepNext w:val="0"/>
              <w:spacing w:after="0" w:line="278" w:lineRule="auto"/>
              <w:jc w:val="center"/>
            </w:pPr>
            <w:r>
              <w:rPr>
                <w:rFonts w:ascii="Noto Sans CJK KR" w:hAnsi="Noto Sans CJK KR" w:eastAsia="Noto Sans CJK KR" w:cs="Noto Sans CJK KR"/>
                <w:b w:val="0"/>
                <w:color w:val="000000"/>
                <w:sz w:val="20"/>
              </w:rPr>
              <w:t>인증과 권한</w:t>
            </w:r>
          </w:p>
        </w:tc>
        <w:tc>
          <w:tcPr>
            <w:tcW w:type="dxa" w:w="3960"/>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SSO 연계, 정책 집행</w:t>
            </w:r>
          </w:p>
        </w:tc>
        <w:tc>
          <w:tcPr>
            <w:tcW w:type="dxa" w:w="4622"/>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고객사 IdP, 조직과 데이터 권한</w:t>
            </w:r>
          </w:p>
        </w:tc>
      </w:tr>
      <w:tr>
        <w:trPr>
          <w:cantSplit/>
        </w:trPr>
        <w:tc>
          <w:tcPr>
            <w:tcW w:type="dxa" w:w="1440"/>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업무 공통</w:t>
            </w:r>
          </w:p>
        </w:tc>
        <w:tc>
          <w:tcPr>
            <w:tcW w:type="dxa" w:w="3960"/>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코드, 파일, 승인, 스케줄</w:t>
            </w:r>
          </w:p>
        </w:tc>
        <w:tc>
          <w:tcPr>
            <w:tcW w:type="dxa" w:w="4622"/>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업무 규칙과 승인 경로</w:t>
            </w:r>
          </w:p>
        </w:tc>
      </w:tr>
      <w:tr>
        <w:trPr>
          <w:cantSplit/>
        </w:trPr>
        <w:tc>
          <w:tcPr>
            <w:tcW w:type="dxa" w:w="1440"/>
            <w:vAlign w:val="center"/>
            <w:tcMar>
              <w:top w:w="85" w:type="dxa"/>
              <w:bottom w:w="85" w:type="dxa"/>
              <w:left w:w="105" w:type="dxa"/>
              <w:right w:w="105" w:type="dxa"/>
            </w:tcMar>
            <w:shd w:fill="F1F5F8"/>
          </w:tcPr>
          <w:p>
            <w:pPr>
              <w:keepNext w:val="0"/>
              <w:spacing w:after="0" w:line="278" w:lineRule="auto"/>
              <w:jc w:val="center"/>
            </w:pPr>
            <w:r>
              <w:rPr>
                <w:rFonts w:ascii="Noto Sans CJK KR" w:hAnsi="Noto Sans CJK KR" w:eastAsia="Noto Sans CJK KR" w:cs="Noto Sans CJK KR"/>
                <w:b w:val="0"/>
                <w:color w:val="000000"/>
                <w:sz w:val="20"/>
              </w:rPr>
              <w:t>시스템 연계</w:t>
            </w:r>
          </w:p>
        </w:tc>
        <w:tc>
          <w:tcPr>
            <w:tcW w:type="dxa" w:w="3960"/>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API, 이벤트, 배치 어댑터</w:t>
            </w:r>
          </w:p>
        </w:tc>
        <w:tc>
          <w:tcPr>
            <w:tcW w:type="dxa" w:w="4622"/>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ERP, SAP EAI, 기존 시스템</w:t>
            </w:r>
          </w:p>
        </w:tc>
      </w:tr>
      <w:tr>
        <w:trPr>
          <w:cantSplit/>
        </w:trPr>
        <w:tc>
          <w:tcPr>
            <w:tcW w:type="dxa" w:w="1440"/>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모델 연결</w:t>
            </w:r>
          </w:p>
        </w:tc>
        <w:tc>
          <w:tcPr>
            <w:tcW w:type="dxa" w:w="3960"/>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모델 라우팅과 사용 제한</w:t>
            </w:r>
          </w:p>
        </w:tc>
        <w:tc>
          <w:tcPr>
            <w:tcW w:type="dxa" w:w="4622"/>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외부 API, Ollama, vLLM</w:t>
            </w:r>
          </w:p>
        </w:tc>
      </w:tr>
      <w:tr>
        <w:trPr>
          <w:cantSplit/>
        </w:trPr>
        <w:tc>
          <w:tcPr>
            <w:tcW w:type="dxa" w:w="1440"/>
            <w:vAlign w:val="center"/>
            <w:tcMar>
              <w:top w:w="85" w:type="dxa"/>
              <w:bottom w:w="85" w:type="dxa"/>
              <w:left w:w="105" w:type="dxa"/>
              <w:right w:w="105" w:type="dxa"/>
            </w:tcMar>
            <w:shd w:fill="F1F5F8"/>
          </w:tcPr>
          <w:p>
            <w:pPr>
              <w:keepNext w:val="0"/>
              <w:spacing w:after="0" w:line="278" w:lineRule="auto"/>
              <w:jc w:val="center"/>
            </w:pPr>
            <w:r>
              <w:rPr>
                <w:rFonts w:ascii="Noto Sans CJK KR" w:hAnsi="Noto Sans CJK KR" w:eastAsia="Noto Sans CJK KR" w:cs="Noto Sans CJK KR"/>
                <w:b w:val="0"/>
                <w:color w:val="000000"/>
                <w:sz w:val="20"/>
              </w:rPr>
              <w:t>지식검색</w:t>
            </w:r>
          </w:p>
        </w:tc>
        <w:tc>
          <w:tcPr>
            <w:tcW w:type="dxa" w:w="3960"/>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문서 적재와 검색 계약</w:t>
            </w:r>
          </w:p>
        </w:tc>
        <w:tc>
          <w:tcPr>
            <w:tcW w:type="dxa" w:w="4622"/>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저장소, 임베딩, 검색 엔진</w:t>
            </w:r>
          </w:p>
        </w:tc>
      </w:tr>
      <w:tr>
        <w:trPr>
          <w:cantSplit/>
        </w:trPr>
        <w:tc>
          <w:tcPr>
            <w:tcW w:type="dxa" w:w="1440"/>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Agent 실행</w:t>
            </w:r>
          </w:p>
        </w:tc>
        <w:tc>
          <w:tcPr>
            <w:tcW w:type="dxa" w:w="3960"/>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Tool 목록, 상태와 재개</w:t>
            </w:r>
          </w:p>
        </w:tc>
        <w:tc>
          <w:tcPr>
            <w:tcW w:type="dxa" w:w="4622"/>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업무별 Agent와 실행 계획</w:t>
            </w:r>
          </w:p>
        </w:tc>
      </w:tr>
      <w:tr>
        <w:trPr>
          <w:cantSplit/>
        </w:trPr>
        <w:tc>
          <w:tcPr>
            <w:tcW w:type="dxa" w:w="1440"/>
            <w:vAlign w:val="center"/>
            <w:tcMar>
              <w:top w:w="85" w:type="dxa"/>
              <w:bottom w:w="85" w:type="dxa"/>
              <w:left w:w="105" w:type="dxa"/>
              <w:right w:w="105" w:type="dxa"/>
            </w:tcMar>
            <w:shd w:fill="F1F5F8"/>
          </w:tcPr>
          <w:p>
            <w:pPr>
              <w:keepNext w:val="0"/>
              <w:spacing w:after="0" w:line="278" w:lineRule="auto"/>
              <w:jc w:val="center"/>
            </w:pPr>
            <w:r>
              <w:rPr>
                <w:rFonts w:ascii="Noto Sans CJK KR" w:hAnsi="Noto Sans CJK KR" w:eastAsia="Noto Sans CJK KR" w:cs="Noto Sans CJK KR"/>
                <w:b w:val="0"/>
                <w:color w:val="000000"/>
                <w:sz w:val="20"/>
              </w:rPr>
              <w:t>개발 표준</w:t>
            </w:r>
          </w:p>
        </w:tc>
        <w:tc>
          <w:tcPr>
            <w:tcW w:type="dxa" w:w="3960"/>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템플릿, 명세, 품질 절차</w:t>
            </w:r>
          </w:p>
        </w:tc>
        <w:tc>
          <w:tcPr>
            <w:tcW w:type="dxa" w:w="4622"/>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개발 도구와 프로젝트 구성</w:t>
            </w:r>
          </w:p>
        </w:tc>
      </w:tr>
      <w:tr>
        <w:trPr>
          <w:cantSplit/>
        </w:trPr>
        <w:tc>
          <w:tcPr>
            <w:tcW w:type="dxa" w:w="1440"/>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운영</w:t>
            </w:r>
          </w:p>
        </w:tc>
        <w:tc>
          <w:tcPr>
            <w:tcW w:type="dxa" w:w="3960"/>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배포, 추적, 복구와 경보</w:t>
            </w:r>
          </w:p>
        </w:tc>
        <w:tc>
          <w:tcPr>
            <w:tcW w:type="dxa" w:w="4622"/>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서버, 컨테이너, 관리 도구</w:t>
            </w:r>
          </w:p>
        </w:tc>
      </w:tr>
      <w:tr>
        <w:trPr>
          <w:cantSplit/>
        </w:trPr>
        <w:tc>
          <w:tcPr>
            <w:tcW w:type="dxa" w:w="1440"/>
            <w:vAlign w:val="center"/>
            <w:tcMar>
              <w:top w:w="85" w:type="dxa"/>
              <w:bottom w:w="85" w:type="dxa"/>
              <w:left w:w="105" w:type="dxa"/>
              <w:right w:w="105" w:type="dxa"/>
            </w:tcMar>
            <w:shd w:fill="F1F5F8"/>
          </w:tcPr>
          <w:p>
            <w:pPr>
              <w:keepNext w:val="0"/>
              <w:spacing w:after="0" w:line="278" w:lineRule="auto"/>
              <w:jc w:val="center"/>
            </w:pPr>
            <w:r>
              <w:rPr>
                <w:rFonts w:ascii="Noto Sans CJK KR" w:hAnsi="Noto Sans CJK KR" w:eastAsia="Noto Sans CJK KR" w:cs="Noto Sans CJK KR"/>
                <w:b w:val="0"/>
                <w:color w:val="000000"/>
                <w:sz w:val="20"/>
              </w:rPr>
              <w:t>평가와 감사</w:t>
            </w:r>
          </w:p>
        </w:tc>
        <w:tc>
          <w:tcPr>
            <w:tcW w:type="dxa" w:w="3960"/>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평가사례, 증적, 버전 기록</w:t>
            </w:r>
          </w:p>
        </w:tc>
        <w:tc>
          <w:tcPr>
            <w:tcW w:type="dxa" w:w="4622"/>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업무별 지표와 허용 기준</w:t>
            </w:r>
          </w:p>
        </w:tc>
      </w:tr>
    </w:tbl>
    <w:p>
      <w:pPr>
        <w:spacing w:after="0" w:before="0" w:line="80" w:lineRule="exact"/>
      </w:pPr>
      <w:r>
        <w:rPr>
          <w:rFonts w:ascii="Noto Sans CJK KR" w:hAnsi="Noto Sans CJK KR" w:eastAsia="Noto Sans CJK KR" w:cs="Noto Sans CJK KR"/>
          <w:color w:val="000000"/>
          <w:sz w:val="6"/>
        </w:rPr>
      </w:r>
    </w:p>
    <w:p>
      <w:r>
        <w:rPr>
          <w:rFonts w:ascii="Noto Sans CJK KR" w:hAnsi="Noto Sans CJK KR" w:eastAsia="Noto Sans CJK KR" w:cs="Noto Sans CJK KR"/>
          <w:color w:val="000000"/>
        </w:rPr>
        <w:t>공통 Java 코드는 라이브러리로 제공하고 TypeScript와 Python 서비스는 API와 메시지 계약을 재사용한다. 공통 코드 변경 시 소비 모듈의 호환성을 확인하고, 운영 중인 프로젝트가 승인한 버전을 유지할 수 있게 한다.</w:t>
      </w:r>
    </w:p>
    <w:p>
      <w:pPr>
        <w:pStyle w:val="Heading1"/>
        <w:pageBreakBefore/>
        <w:spacing w:before="0"/>
      </w:pPr>
      <w:r>
        <w:rPr>
          <w:rFonts w:ascii="Noto Sans CJK KR" w:hAnsi="Noto Sans CJK KR" w:eastAsia="Noto Sans CJK KR" w:cs="Noto Sans CJK KR"/>
          <w:color w:val="000000"/>
        </w:rPr>
        <w:t>5 API Tool과 Agent 실행 계약</w:t>
      </w:r>
    </w:p>
    <w:p>
      <w:r>
        <w:rPr>
          <w:rFonts w:ascii="Noto Sans CJK KR" w:hAnsi="Noto Sans CJK KR" w:eastAsia="Noto Sans CJK KR" w:cs="Noto Sans CJK KR"/>
          <w:color w:val="000000"/>
        </w:rPr>
        <w:t>Tool은 업무 기능을 Agent가 호출할 수 있도록 정의한 인터페이스다. 같은 기능을 REST API나 MCP로 노출하더라도 인증, 승인과 업무 검증의 의미가 일치해야 한다.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00"/>
        <w:gridCol w:w="8222"/>
      </w:tblGrid>
      <w:tr>
        <w:trPr>
          <w:cantSplit/>
          <w:tblHeader/>
        </w:trPr>
        <w:tc>
          <w:tcPr>
            <w:tcW w:type="dxa" w:w="1800"/>
            <w:vAlign w:val="center"/>
            <w:tcMar>
              <w:top w:w="85" w:type="dxa"/>
              <w:bottom w:w="85" w:type="dxa"/>
              <w:left w:w="105" w:type="dxa"/>
              <w:right w:w="105" w:type="dxa"/>
            </w:tcMar>
            <w:shd w:fill="203F57"/>
          </w:tcPr>
          <w:p>
            <w:pPr>
              <w:keepNext w:val="0"/>
              <w:spacing w:after="0" w:line="278" w:lineRule="auto"/>
              <w:jc w:val="center"/>
            </w:pPr>
            <w:r>
              <w:rPr>
                <w:rFonts w:ascii="Noto Sans CJK KR" w:hAnsi="Noto Sans CJK KR" w:eastAsia="Noto Sans CJK KR" w:cs="Noto Sans CJK KR"/>
                <w:b/>
                <w:color w:val="FFFFFF"/>
                <w:sz w:val="20"/>
              </w:rPr>
              <w:t>계약 항목</w:t>
            </w:r>
          </w:p>
        </w:tc>
        <w:tc>
          <w:tcPr>
            <w:tcW w:type="dxa" w:w="8222"/>
            <w:vAlign w:val="center"/>
            <w:tcMar>
              <w:top w:w="85" w:type="dxa"/>
              <w:bottom w:w="85" w:type="dxa"/>
              <w:left w:w="105" w:type="dxa"/>
              <w:right w:w="105" w:type="dxa"/>
            </w:tcMar>
            <w:shd w:fill="203F57"/>
          </w:tcPr>
          <w:p>
            <w:pPr>
              <w:keepNext w:val="0"/>
              <w:spacing w:after="0" w:line="278" w:lineRule="auto"/>
            </w:pPr>
            <w:r>
              <w:rPr>
                <w:rFonts w:ascii="Noto Sans CJK KR" w:hAnsi="Noto Sans CJK KR" w:eastAsia="Noto Sans CJK KR" w:cs="Noto Sans CJK KR"/>
                <w:b/>
                <w:color w:val="FFFFFF"/>
                <w:sz w:val="20"/>
              </w:rPr>
              <w:t>필수 정의</w:t>
            </w:r>
          </w:p>
        </w:tc>
      </w:tr>
      <w:tr>
        <w:trPr>
          <w:cantSplit/>
        </w:trPr>
        <w:tc>
          <w:tcPr>
            <w:tcW w:type="dxa" w:w="1800"/>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식별과 버전</w:t>
            </w:r>
          </w:p>
        </w:tc>
        <w:tc>
          <w:tcPr>
            <w:tcW w:type="dxa" w:w="8222"/>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Tool ID, 소유자, 버전, 지원 종료 조건</w:t>
            </w:r>
          </w:p>
        </w:tc>
      </w:tr>
      <w:tr>
        <w:trPr>
          <w:cantSplit/>
        </w:trPr>
        <w:tc>
          <w:tcPr>
            <w:tcW w:type="dxa" w:w="1800"/>
            <w:vAlign w:val="center"/>
            <w:tcMar>
              <w:top w:w="85" w:type="dxa"/>
              <w:bottom w:w="85" w:type="dxa"/>
              <w:left w:w="105" w:type="dxa"/>
              <w:right w:w="105" w:type="dxa"/>
            </w:tcMar>
            <w:shd w:fill="F1F5F8"/>
          </w:tcPr>
          <w:p>
            <w:pPr>
              <w:keepNext w:val="0"/>
              <w:spacing w:after="0" w:line="278" w:lineRule="auto"/>
              <w:jc w:val="center"/>
            </w:pPr>
            <w:r>
              <w:rPr>
                <w:rFonts w:ascii="Noto Sans CJK KR" w:hAnsi="Noto Sans CJK KR" w:eastAsia="Noto Sans CJK KR" w:cs="Noto Sans CJK KR"/>
                <w:b w:val="0"/>
                <w:color w:val="000000"/>
                <w:sz w:val="20"/>
              </w:rPr>
              <w:t>입력과 결과</w:t>
            </w:r>
          </w:p>
        </w:tc>
        <w:tc>
          <w:tcPr>
            <w:tcW w:type="dxa" w:w="8222"/>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입력 스키마, 결과 스키마, 오류와 부분 성공 의미</w:t>
            </w:r>
          </w:p>
        </w:tc>
      </w:tr>
      <w:tr>
        <w:trPr>
          <w:cantSplit/>
        </w:trPr>
        <w:tc>
          <w:tcPr>
            <w:tcW w:type="dxa" w:w="1800"/>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권한과 승인</w:t>
            </w:r>
          </w:p>
        </w:tc>
        <w:tc>
          <w:tcPr>
            <w:tcW w:type="dxa" w:w="8222"/>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사용자, Agent, 데이터 범위, 승인 조건과 유효기간</w:t>
            </w:r>
          </w:p>
        </w:tc>
      </w:tr>
      <w:tr>
        <w:trPr>
          <w:cantSplit/>
        </w:trPr>
        <w:tc>
          <w:tcPr>
            <w:tcW w:type="dxa" w:w="1800"/>
            <w:vAlign w:val="center"/>
            <w:tcMar>
              <w:top w:w="85" w:type="dxa"/>
              <w:bottom w:w="85" w:type="dxa"/>
              <w:left w:w="105" w:type="dxa"/>
              <w:right w:w="105" w:type="dxa"/>
            </w:tcMar>
            <w:shd w:fill="F1F5F8"/>
          </w:tcPr>
          <w:p>
            <w:pPr>
              <w:keepNext w:val="0"/>
              <w:spacing w:after="0" w:line="278" w:lineRule="auto"/>
              <w:jc w:val="center"/>
            </w:pPr>
            <w:r>
              <w:rPr>
                <w:rFonts w:ascii="Noto Sans CJK KR" w:hAnsi="Noto Sans CJK KR" w:eastAsia="Noto Sans CJK KR" w:cs="Noto Sans CJK KR"/>
                <w:b w:val="0"/>
                <w:color w:val="000000"/>
                <w:sz w:val="20"/>
              </w:rPr>
              <w:t>실행 제어</w:t>
            </w:r>
          </w:p>
        </w:tc>
        <w:tc>
          <w:tcPr>
            <w:tcW w:type="dxa" w:w="8222"/>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시간제한, 호출 한도, 취소와 재개, 재시도 조건</w:t>
            </w:r>
          </w:p>
        </w:tc>
      </w:tr>
      <w:tr>
        <w:trPr>
          <w:cantSplit/>
        </w:trPr>
        <w:tc>
          <w:tcPr>
            <w:tcW w:type="dxa" w:w="1800"/>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중복과 상태</w:t>
            </w:r>
          </w:p>
        </w:tc>
        <w:tc>
          <w:tcPr>
            <w:tcW w:type="dxa" w:w="8222"/>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업무 실행 ID, 중복 방지, 결과 불명확 시 조회 절차</w:t>
            </w:r>
          </w:p>
        </w:tc>
      </w:tr>
      <w:tr>
        <w:trPr>
          <w:cantSplit/>
        </w:trPr>
        <w:tc>
          <w:tcPr>
            <w:tcW w:type="dxa" w:w="1800"/>
            <w:vAlign w:val="center"/>
            <w:tcMar>
              <w:top w:w="85" w:type="dxa"/>
              <w:bottom w:w="85" w:type="dxa"/>
              <w:left w:w="105" w:type="dxa"/>
              <w:right w:w="105" w:type="dxa"/>
            </w:tcMar>
            <w:shd w:fill="F1F5F8"/>
          </w:tcPr>
          <w:p>
            <w:pPr>
              <w:keepNext w:val="0"/>
              <w:spacing w:after="0" w:line="278" w:lineRule="auto"/>
              <w:jc w:val="center"/>
            </w:pPr>
            <w:r>
              <w:rPr>
                <w:rFonts w:ascii="Noto Sans CJK KR" w:hAnsi="Noto Sans CJK KR" w:eastAsia="Noto Sans CJK KR" w:cs="Noto Sans CJK KR"/>
                <w:b w:val="0"/>
                <w:color w:val="000000"/>
                <w:sz w:val="20"/>
              </w:rPr>
              <w:t>추적</w:t>
            </w:r>
          </w:p>
        </w:tc>
        <w:tc>
          <w:tcPr>
            <w:tcW w:type="dxa" w:w="8222"/>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요청 ID, Tool 호출 ID, 변경 대상과 처리 결과</w:t>
            </w:r>
          </w:p>
        </w:tc>
      </w:tr>
    </w:tbl>
    <w:p>
      <w:pPr>
        <w:spacing w:after="0" w:before="0" w:line="80" w:lineRule="exact"/>
      </w:pPr>
      <w:r>
        <w:rPr>
          <w:rFonts w:ascii="Noto Sans CJK KR" w:hAnsi="Noto Sans CJK KR" w:eastAsia="Noto Sans CJK KR" w:cs="Noto Sans CJK KR"/>
          <w:color w:val="000000"/>
          <w:sz w:val="6"/>
        </w:rPr>
      </w:r>
    </w:p>
    <w:p>
      <w:pPr>
        <w:pStyle w:val="Heading2"/>
      </w:pPr>
      <w:r>
        <w:rPr>
          <w:rFonts w:ascii="Noto Sans CJK KR" w:hAnsi="Noto Sans CJK KR" w:eastAsia="Noto Sans CJK KR" w:cs="Noto Sans CJK KR"/>
          <w:color w:val="000000"/>
        </w:rPr>
        <w:t>실행 상태의 보존</w:t>
      </w:r>
    </w:p>
    <w:p>
      <w:r>
        <w:rPr>
          <w:rFonts w:ascii="Noto Sans CJK KR" w:hAnsi="Noto Sans CJK KR" w:eastAsia="Noto Sans CJK KR" w:cs="Noto Sans CJK KR"/>
          <w:color w:val="000000"/>
        </w:rPr>
        <w:t>접수, 권한 확인, 계획, 승인 대기, 실행, 완료 또는 실패 상태를 저장한다. 승인 대상에는 Tool 버전, 대상 레코드와 실제 입력을 포함한다. 입력이나 대상 상태가 달라지면 재검토하고, 실행 직전에 권한과 승인 유효성을 다시 확인한다.</w:t>
      </w:r>
    </w:p>
    <w:p>
      <w:pPr>
        <w:pStyle w:val="Heading2"/>
      </w:pPr>
      <w:r>
        <w:rPr>
          <w:rFonts w:ascii="Noto Sans CJK KR" w:hAnsi="Noto Sans CJK KR" w:eastAsia="Noto Sans CJK KR" w:cs="Noto Sans CJK KR"/>
          <w:color w:val="000000"/>
        </w:rPr>
        <w:t>불명확한 결과의 처리</w:t>
      </w:r>
    </w:p>
    <w:p>
      <w:r>
        <w:rPr>
          <w:rFonts w:ascii="Noto Sans CJK KR" w:hAnsi="Noto Sans CJK KR" w:eastAsia="Noto Sans CJK KR" w:cs="Noto Sans CJK KR"/>
          <w:color w:val="000000"/>
        </w:rPr>
        <w:t>ERP나 SAP EAI 호출이 시간초과되면 상대 시스템의 수신 상태를 먼저 조회한다. 상대 시스템의 중복 방지 지원과 대사 절차를 함께 설계한다. 로컬의 실행 ID만으로 시스템 전체의 중복 처리가 해결된다고 가정하지 않는다.</w:t>
      </w:r>
    </w:p>
    <w:p>
      <w:r>
        <w:rPr>
          <w:rFonts w:ascii="Noto Sans CJK KR" w:hAnsi="Noto Sans CJK KR" w:eastAsia="Noto Sans CJK KR" w:cs="Noto Sans CJK KR"/>
          <w:color w:val="000000"/>
        </w:rPr>
        <w:t>정해진 단계가 있는 업무는 명시적인 Workflow로 구현한다. 탐색과 분석이 필요한 부분에 Agent를 적용하고, 추가 Agent는 책임 분리나 병렬 처리 효과가 검증될 때 도입한다.</w:t>
      </w:r>
    </w:p>
    <w:p>
      <w:pPr>
        <w:pStyle w:val="Heading1"/>
        <w:pageBreakBefore/>
        <w:spacing w:before="0"/>
      </w:pPr>
      <w:r>
        <w:rPr>
          <w:rFonts w:ascii="Noto Sans CJK KR" w:hAnsi="Noto Sans CJK KR" w:eastAsia="Noto Sans CJK KR" w:cs="Noto Sans CJK KR"/>
          <w:color w:val="000000"/>
        </w:rPr>
        <w:t>6 데이터 지식과 기억의 관리</w:t>
      </w:r>
    </w:p>
    <w:p>
      <w:r>
        <w:rPr>
          <w:rFonts w:ascii="Noto Sans CJK KR" w:hAnsi="Noto Sans CJK KR" w:eastAsia="Noto Sans CJK KR" w:cs="Noto Sans CJK KR"/>
          <w:color w:val="000000"/>
        </w:rPr>
        <w:t>업무 원장, 원문 문서, 검색 색인과 대화 기록은 서로 다른 보존·접근 기준을 갖는다. 공통 지식검색은 적재와 권한 확인 방식을 제공하고, 자료의 소유권과 공개 범위는 부서와 업무가 관리한다.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656"/>
        <w:gridCol w:w="4104"/>
        <w:gridCol w:w="4262"/>
      </w:tblGrid>
      <w:tr>
        <w:trPr>
          <w:cantSplit/>
          <w:tblHeader/>
        </w:trPr>
        <w:tc>
          <w:tcPr>
            <w:tcW w:type="dxa" w:w="1656"/>
            <w:vAlign w:val="center"/>
            <w:tcMar>
              <w:top w:w="85" w:type="dxa"/>
              <w:bottom w:w="85" w:type="dxa"/>
              <w:left w:w="105" w:type="dxa"/>
              <w:right w:w="105" w:type="dxa"/>
            </w:tcMar>
            <w:shd w:fill="203F57"/>
          </w:tcPr>
          <w:p>
            <w:pPr>
              <w:keepNext w:val="0"/>
              <w:spacing w:after="0" w:line="278" w:lineRule="auto"/>
              <w:jc w:val="center"/>
            </w:pPr>
            <w:r>
              <w:rPr>
                <w:rFonts w:ascii="Noto Sans CJK KR" w:hAnsi="Noto Sans CJK KR" w:eastAsia="Noto Sans CJK KR" w:cs="Noto Sans CJK KR"/>
                <w:b/>
                <w:color w:val="FFFFFF"/>
                <w:sz w:val="20"/>
              </w:rPr>
              <w:t>저장 대상</w:t>
            </w:r>
          </w:p>
        </w:tc>
        <w:tc>
          <w:tcPr>
            <w:tcW w:type="dxa" w:w="4104"/>
            <w:vAlign w:val="center"/>
            <w:tcMar>
              <w:top w:w="85" w:type="dxa"/>
              <w:bottom w:w="85" w:type="dxa"/>
              <w:left w:w="105" w:type="dxa"/>
              <w:right w:w="105" w:type="dxa"/>
            </w:tcMar>
            <w:shd w:fill="203F57"/>
          </w:tcPr>
          <w:p>
            <w:pPr>
              <w:keepNext w:val="0"/>
              <w:spacing w:after="0" w:line="278" w:lineRule="auto"/>
            </w:pPr>
            <w:r>
              <w:rPr>
                <w:rFonts w:ascii="Noto Sans CJK KR" w:hAnsi="Noto Sans CJK KR" w:eastAsia="Noto Sans CJK KR" w:cs="Noto Sans CJK KR"/>
                <w:b/>
                <w:color w:val="FFFFFF"/>
                <w:sz w:val="20"/>
              </w:rPr>
              <w:t>보존 기준</w:t>
            </w:r>
          </w:p>
        </w:tc>
        <w:tc>
          <w:tcPr>
            <w:tcW w:type="dxa" w:w="4262"/>
            <w:vAlign w:val="center"/>
            <w:tcMar>
              <w:top w:w="85" w:type="dxa"/>
              <w:bottom w:w="85" w:type="dxa"/>
              <w:left w:w="105" w:type="dxa"/>
              <w:right w:w="105" w:type="dxa"/>
            </w:tcMar>
            <w:shd w:fill="203F57"/>
          </w:tcPr>
          <w:p>
            <w:pPr>
              <w:keepNext w:val="0"/>
              <w:spacing w:after="0" w:line="278" w:lineRule="auto"/>
            </w:pPr>
            <w:r>
              <w:rPr>
                <w:rFonts w:ascii="Noto Sans CJK KR" w:hAnsi="Noto Sans CJK KR" w:eastAsia="Noto Sans CJK KR" w:cs="Noto Sans CJK KR"/>
                <w:b/>
                <w:color w:val="FFFFFF"/>
                <w:sz w:val="20"/>
              </w:rPr>
              <w:t>변경 시 처리</w:t>
            </w:r>
          </w:p>
        </w:tc>
      </w:tr>
      <w:tr>
        <w:trPr>
          <w:cantSplit/>
        </w:trPr>
        <w:tc>
          <w:tcPr>
            <w:tcW w:type="dxa" w:w="1656"/>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업무 원장</w:t>
            </w:r>
          </w:p>
        </w:tc>
        <w:tc>
          <w:tcPr>
            <w:tcW w:type="dxa" w:w="4104"/>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업무 ID, 상태, 변경 이력</w:t>
            </w:r>
          </w:p>
        </w:tc>
        <w:tc>
          <w:tcPr>
            <w:tcW w:type="dxa" w:w="4262"/>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업무 API와 승인으로 정정</w:t>
            </w:r>
          </w:p>
        </w:tc>
      </w:tr>
      <w:tr>
        <w:trPr>
          <w:cantSplit/>
        </w:trPr>
        <w:tc>
          <w:tcPr>
            <w:tcW w:type="dxa" w:w="1656"/>
            <w:vAlign w:val="center"/>
            <w:tcMar>
              <w:top w:w="85" w:type="dxa"/>
              <w:bottom w:w="85" w:type="dxa"/>
              <w:left w:w="105" w:type="dxa"/>
              <w:right w:w="105" w:type="dxa"/>
            </w:tcMar>
            <w:shd w:fill="F1F5F8"/>
          </w:tcPr>
          <w:p>
            <w:pPr>
              <w:keepNext w:val="0"/>
              <w:spacing w:after="0" w:line="278" w:lineRule="auto"/>
              <w:jc w:val="center"/>
            </w:pPr>
            <w:r>
              <w:rPr>
                <w:rFonts w:ascii="Noto Sans CJK KR" w:hAnsi="Noto Sans CJK KR" w:eastAsia="Noto Sans CJK KR" w:cs="Noto Sans CJK KR"/>
                <w:b w:val="0"/>
                <w:color w:val="000000"/>
                <w:sz w:val="20"/>
              </w:rPr>
              <w:t>원문 자료</w:t>
            </w:r>
          </w:p>
        </w:tc>
        <w:tc>
          <w:tcPr>
            <w:tcW w:type="dxa" w:w="4104"/>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파일 해시, 출처, 소유자, 버전, ACL</w:t>
            </w:r>
          </w:p>
        </w:tc>
        <w:tc>
          <w:tcPr>
            <w:tcW w:type="dxa" w:w="4262"/>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정정본과 원본 관계 기록</w:t>
            </w:r>
          </w:p>
        </w:tc>
      </w:tr>
      <w:tr>
        <w:trPr>
          <w:cantSplit/>
        </w:trPr>
        <w:tc>
          <w:tcPr>
            <w:tcW w:type="dxa" w:w="1656"/>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검색 색인</w:t>
            </w:r>
          </w:p>
        </w:tc>
        <w:tc>
          <w:tcPr>
            <w:tcW w:type="dxa" w:w="4104"/>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원문 ID, chunk ID, 모델, 차원, 전처리 버전</w:t>
            </w:r>
          </w:p>
        </w:tc>
        <w:tc>
          <w:tcPr>
            <w:tcW w:type="dxa" w:w="4262"/>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재색인 후 검증하여 전환</w:t>
            </w:r>
          </w:p>
        </w:tc>
      </w:tr>
      <w:tr>
        <w:trPr>
          <w:cantSplit/>
        </w:trPr>
        <w:tc>
          <w:tcPr>
            <w:tcW w:type="dxa" w:w="1656"/>
            <w:vAlign w:val="center"/>
            <w:tcMar>
              <w:top w:w="85" w:type="dxa"/>
              <w:bottom w:w="85" w:type="dxa"/>
              <w:left w:w="105" w:type="dxa"/>
              <w:right w:w="105" w:type="dxa"/>
            </w:tcMar>
            <w:shd w:fill="F1F5F8"/>
          </w:tcPr>
          <w:p>
            <w:pPr>
              <w:keepNext w:val="0"/>
              <w:spacing w:after="0" w:line="278" w:lineRule="auto"/>
              <w:jc w:val="center"/>
            </w:pPr>
            <w:r>
              <w:rPr>
                <w:rFonts w:ascii="Noto Sans CJK KR" w:hAnsi="Noto Sans CJK KR" w:eastAsia="Noto Sans CJK KR" w:cs="Noto Sans CJK KR"/>
                <w:b w:val="0"/>
                <w:color w:val="000000"/>
                <w:sz w:val="20"/>
              </w:rPr>
              <w:t>대화와 실행상태</w:t>
            </w:r>
          </w:p>
        </w:tc>
        <w:tc>
          <w:tcPr>
            <w:tcW w:type="dxa" w:w="4104"/>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사용자, 작업 ID, 보존기간, 접근 범위</w:t>
            </w:r>
          </w:p>
        </w:tc>
        <w:tc>
          <w:tcPr>
            <w:tcW w:type="dxa" w:w="4262"/>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업무·사용자 범위로 조회와 삭제</w:t>
            </w:r>
          </w:p>
        </w:tc>
      </w:tr>
      <w:tr>
        <w:trPr>
          <w:cantSplit/>
        </w:trPr>
        <w:tc>
          <w:tcPr>
            <w:tcW w:type="dxa" w:w="1656"/>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검증된 업무지식</w:t>
            </w:r>
          </w:p>
        </w:tc>
        <w:tc>
          <w:tcPr>
            <w:tcW w:type="dxa" w:w="4104"/>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근거, 검토자, 적용 범위, 유효기간</w:t>
            </w:r>
          </w:p>
        </w:tc>
        <w:tc>
          <w:tcPr>
            <w:tcW w:type="dxa" w:w="4262"/>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검토 후 승인 버전 발행</w:t>
            </w:r>
          </w:p>
        </w:tc>
      </w:tr>
    </w:tbl>
    <w:p>
      <w:pPr>
        <w:spacing w:after="0" w:before="0" w:line="80" w:lineRule="exact"/>
      </w:pPr>
      <w:r>
        <w:rPr>
          <w:rFonts w:ascii="Noto Sans CJK KR" w:hAnsi="Noto Sans CJK KR" w:eastAsia="Noto Sans CJK KR" w:cs="Noto Sans CJK KR"/>
          <w:color w:val="000000"/>
          <w:sz w:val="6"/>
        </w:rPr>
      </w:r>
    </w:p>
    <w:p>
      <w:r>
        <w:rPr>
          <w:rFonts w:ascii="Noto Sans CJK KR" w:hAnsi="Noto Sans CJK KR" w:eastAsia="Noto Sans CJK KR" w:cs="Noto Sans CJK KR"/>
          <w:color w:val="000000"/>
        </w:rPr>
        <w:t>문서 검색 권한은 후보를 검색할 때 적용하고, 원문을 열 때도 다시 확인한다. 부서 이동, 권한 회수와 자료 삭제는 캐시와 색인에도 반영한다. Agent가 검색한 문서의 지시문을 시스템 정책으로 실행하지 않도록 처리한다.</w:t>
      </w:r>
    </w:p>
    <w:p>
      <w:pPr>
        <w:pStyle w:val="Heading2"/>
      </w:pPr>
      <w:r>
        <w:rPr>
          <w:rFonts w:ascii="Noto Sans CJK KR" w:hAnsi="Noto Sans CJK KR" w:eastAsia="Noto Sans CJK KR" w:cs="Noto Sans CJK KR"/>
          <w:color w:val="000000"/>
        </w:rPr>
        <w:t>모델 변경과 지식의 보존</w:t>
      </w:r>
    </w:p>
    <w:p>
      <w:r>
        <w:rPr>
          <w:rFonts w:ascii="Noto Sans CJK KR" w:hAnsi="Noto Sans CJK KR" w:eastAsia="Noto Sans CJK KR" w:cs="Noto Sans CJK KR"/>
          <w:color w:val="000000"/>
        </w:rPr>
        <w:t>대화 저장이나 RAG 적재는 모델 가중치 학습과 구분한다. LLM 공급자가 바뀌어도 원문과 승인 지식은 보존할 수 있다. 임베딩은 같은 차원이어도 모델과 전처리가 다르면 호환되지 않을 수 있으므로, 새 색인에서 검색 품질을 확인한 뒤 전환한다.</w:t>
      </w:r>
    </w:p>
    <w:p>
      <w:r>
        <w:rPr>
          <w:rFonts w:ascii="Noto Sans CJK KR" w:hAnsi="Noto Sans CJK KR" w:eastAsia="Noto Sans CJK KR" w:cs="Noto Sans CJK KR"/>
          <w:color w:val="000000"/>
        </w:rPr>
        <w:t>학습 데이터나 예측 모델을 갱신하는 기능은 별도 절차로 관리한다. 데이터 확정, 모델 평가, 승인과 배포 이력을 연결하며 대화만으로 운영 모델을 자동 변경하지 않는다.</w:t>
      </w:r>
    </w:p>
    <w:p>
      <w:pPr>
        <w:pStyle w:val="Heading1"/>
        <w:pageBreakBefore/>
        <w:spacing w:before="0"/>
      </w:pPr>
      <w:r>
        <w:rPr>
          <w:rFonts w:ascii="Noto Sans CJK KR" w:hAnsi="Noto Sans CJK KR" w:eastAsia="Noto Sans CJK KR" w:cs="Noto Sans CJK KR"/>
          <w:color w:val="000000"/>
        </w:rPr>
        <w:t>7 AI를 활용한 개발 표준</w:t>
      </w:r>
    </w:p>
    <w:p>
      <w:r>
        <w:rPr>
          <w:rFonts w:ascii="Noto Sans CJK KR" w:hAnsi="Noto Sans CJK KR" w:eastAsia="Noto Sans CJK KR" w:cs="Noto Sans CJK KR"/>
          <w:color w:val="000000"/>
        </w:rPr>
        <w:t>AI 코딩 도구는 요구사항, 설계 계약과 저장소 규칙을 입력으로 사용한다. 개발자는 생성된 변경사항을 검토하고 검증 결과를 근거로 병합한다. 도구가 바뀌어도 개발 산출물과 완료 기준은 유지한다.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440"/>
        <w:gridCol w:w="4536"/>
        <w:gridCol w:w="4046"/>
      </w:tblGrid>
      <w:tr>
        <w:trPr>
          <w:cantSplit/>
          <w:tblHeader/>
        </w:trPr>
        <w:tc>
          <w:tcPr>
            <w:tcW w:type="dxa" w:w="1440"/>
            <w:vAlign w:val="center"/>
            <w:tcMar>
              <w:top w:w="85" w:type="dxa"/>
              <w:bottom w:w="85" w:type="dxa"/>
              <w:left w:w="105" w:type="dxa"/>
              <w:right w:w="105" w:type="dxa"/>
            </w:tcMar>
            <w:shd w:fill="203F57"/>
          </w:tcPr>
          <w:p>
            <w:pPr>
              <w:keepNext w:val="0"/>
              <w:spacing w:after="0" w:line="278" w:lineRule="auto"/>
              <w:jc w:val="center"/>
            </w:pPr>
            <w:r>
              <w:rPr>
                <w:rFonts w:ascii="Noto Sans CJK KR" w:hAnsi="Noto Sans CJK KR" w:eastAsia="Noto Sans CJK KR" w:cs="Noto Sans CJK KR"/>
                <w:b/>
                <w:color w:val="FFFFFF"/>
                <w:sz w:val="20"/>
              </w:rPr>
              <w:t>작업 단계</w:t>
            </w:r>
          </w:p>
        </w:tc>
        <w:tc>
          <w:tcPr>
            <w:tcW w:type="dxa" w:w="4536"/>
            <w:vAlign w:val="center"/>
            <w:tcMar>
              <w:top w:w="85" w:type="dxa"/>
              <w:bottom w:w="85" w:type="dxa"/>
              <w:left w:w="105" w:type="dxa"/>
              <w:right w:w="105" w:type="dxa"/>
            </w:tcMar>
            <w:shd w:fill="203F57"/>
          </w:tcPr>
          <w:p>
            <w:pPr>
              <w:keepNext w:val="0"/>
              <w:spacing w:after="0" w:line="278" w:lineRule="auto"/>
            </w:pPr>
            <w:r>
              <w:rPr>
                <w:rFonts w:ascii="Noto Sans CJK KR" w:hAnsi="Noto Sans CJK KR" w:eastAsia="Noto Sans CJK KR" w:cs="Noto Sans CJK KR"/>
                <w:b/>
                <w:color w:val="FFFFFF"/>
                <w:sz w:val="20"/>
              </w:rPr>
              <w:t>필수 산출물</w:t>
            </w:r>
          </w:p>
        </w:tc>
        <w:tc>
          <w:tcPr>
            <w:tcW w:type="dxa" w:w="4046"/>
            <w:vAlign w:val="center"/>
            <w:tcMar>
              <w:top w:w="85" w:type="dxa"/>
              <w:bottom w:w="85" w:type="dxa"/>
              <w:left w:w="105" w:type="dxa"/>
              <w:right w:w="105" w:type="dxa"/>
            </w:tcMar>
            <w:shd w:fill="203F57"/>
          </w:tcPr>
          <w:p>
            <w:pPr>
              <w:keepNext w:val="0"/>
              <w:spacing w:after="0" w:line="278" w:lineRule="auto"/>
            </w:pPr>
            <w:r>
              <w:rPr>
                <w:rFonts w:ascii="Noto Sans CJK KR" w:hAnsi="Noto Sans CJK KR" w:eastAsia="Noto Sans CJK KR" w:cs="Noto Sans CJK KR"/>
                <w:b/>
                <w:color w:val="FFFFFF"/>
                <w:sz w:val="20"/>
              </w:rPr>
              <w:t>완료 판단</w:t>
            </w:r>
          </w:p>
        </w:tc>
      </w:tr>
      <w:tr>
        <w:trPr>
          <w:cantSplit/>
        </w:trPr>
        <w:tc>
          <w:tcPr>
            <w:tcW w:type="dxa" w:w="1440"/>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업무 명세</w:t>
            </w:r>
          </w:p>
        </w:tc>
        <w:tc>
          <w:tcPr>
            <w:tcW w:type="dxa" w:w="4536"/>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시나리오, 입력, 권한, 예외, 수용 기준</w:t>
            </w:r>
          </w:p>
        </w:tc>
        <w:tc>
          <w:tcPr>
            <w:tcW w:type="dxa" w:w="4046"/>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업무 담당자가 기대 동작 확인</w:t>
            </w:r>
          </w:p>
        </w:tc>
      </w:tr>
      <w:tr>
        <w:trPr>
          <w:cantSplit/>
        </w:trPr>
        <w:tc>
          <w:tcPr>
            <w:tcW w:type="dxa" w:w="1440"/>
            <w:vAlign w:val="center"/>
            <w:tcMar>
              <w:top w:w="85" w:type="dxa"/>
              <w:bottom w:w="85" w:type="dxa"/>
              <w:left w:w="105" w:type="dxa"/>
              <w:right w:w="105" w:type="dxa"/>
            </w:tcMar>
            <w:shd w:fill="F1F5F8"/>
          </w:tcPr>
          <w:p>
            <w:pPr>
              <w:keepNext w:val="0"/>
              <w:spacing w:after="0" w:line="278" w:lineRule="auto"/>
              <w:jc w:val="center"/>
            </w:pPr>
            <w:r>
              <w:rPr>
                <w:rFonts w:ascii="Noto Sans CJK KR" w:hAnsi="Noto Sans CJK KR" w:eastAsia="Noto Sans CJK KR" w:cs="Noto Sans CJK KR"/>
                <w:b w:val="0"/>
                <w:color w:val="000000"/>
                <w:sz w:val="20"/>
              </w:rPr>
              <w:t>설계</w:t>
            </w:r>
          </w:p>
        </w:tc>
        <w:tc>
          <w:tcPr>
            <w:tcW w:type="dxa" w:w="4536"/>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API와 이벤트 계약, 변경 영향, 데이터 처리</w:t>
            </w:r>
          </w:p>
        </w:tc>
        <w:tc>
          <w:tcPr>
            <w:tcW w:type="dxa" w:w="4046"/>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아키텍처와 호환성 검토</w:t>
            </w:r>
          </w:p>
        </w:tc>
      </w:tr>
      <w:tr>
        <w:trPr>
          <w:cantSplit/>
        </w:trPr>
        <w:tc>
          <w:tcPr>
            <w:tcW w:type="dxa" w:w="1440"/>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AI 개발</w:t>
            </w:r>
          </w:p>
        </w:tc>
        <w:tc>
          <w:tcPr>
            <w:tcW w:type="dxa" w:w="4536"/>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변경 코드, 근거, 테스트와 변경 내역</w:t>
            </w:r>
          </w:p>
        </w:tc>
        <w:tc>
          <w:tcPr>
            <w:tcW w:type="dxa" w:w="4046"/>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불필요한 범위 변경 없음</w:t>
            </w:r>
          </w:p>
        </w:tc>
      </w:tr>
      <w:tr>
        <w:trPr>
          <w:cantSplit/>
        </w:trPr>
        <w:tc>
          <w:tcPr>
            <w:tcW w:type="dxa" w:w="1440"/>
            <w:vAlign w:val="center"/>
            <w:tcMar>
              <w:top w:w="85" w:type="dxa"/>
              <w:bottom w:w="85" w:type="dxa"/>
              <w:left w:w="105" w:type="dxa"/>
              <w:right w:w="105" w:type="dxa"/>
            </w:tcMar>
            <w:shd w:fill="F1F5F8"/>
          </w:tcPr>
          <w:p>
            <w:pPr>
              <w:keepNext w:val="0"/>
              <w:spacing w:after="0" w:line="278" w:lineRule="auto"/>
              <w:jc w:val="center"/>
            </w:pPr>
            <w:r>
              <w:rPr>
                <w:rFonts w:ascii="Noto Sans CJK KR" w:hAnsi="Noto Sans CJK KR" w:eastAsia="Noto Sans CJK KR" w:cs="Noto Sans CJK KR"/>
                <w:b w:val="0"/>
                <w:color w:val="000000"/>
                <w:sz w:val="20"/>
              </w:rPr>
              <w:t>검증과 리뷰</w:t>
            </w:r>
          </w:p>
        </w:tc>
        <w:tc>
          <w:tcPr>
            <w:tcW w:type="dxa" w:w="4536"/>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테스트, 의존성·비밀정보 검사, 평가 결과</w:t>
            </w:r>
          </w:p>
        </w:tc>
        <w:tc>
          <w:tcPr>
            <w:tcW w:type="dxa" w:w="4046"/>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검토자가 기준 충족 확인</w:t>
            </w:r>
          </w:p>
        </w:tc>
      </w:tr>
      <w:tr>
        <w:trPr>
          <w:cantSplit/>
        </w:trPr>
        <w:tc>
          <w:tcPr>
            <w:tcW w:type="dxa" w:w="1440"/>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배포</w:t>
            </w:r>
          </w:p>
        </w:tc>
        <w:tc>
          <w:tcPr>
            <w:tcW w:type="dxa" w:w="4536"/>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불변 산출물, 설정 목록, 롤백 절차</w:t>
            </w:r>
          </w:p>
        </w:tc>
        <w:tc>
          <w:tcPr>
            <w:tcW w:type="dxa" w:w="4046"/>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검증환경 통과 후 승인 전환</w:t>
            </w:r>
          </w:p>
        </w:tc>
      </w:tr>
    </w:tbl>
    <w:p>
      <w:pPr>
        <w:spacing w:after="0" w:before="0" w:line="80" w:lineRule="exact"/>
      </w:pPr>
      <w:r>
        <w:rPr>
          <w:rFonts w:ascii="Noto Sans CJK KR" w:hAnsi="Noto Sans CJK KR" w:eastAsia="Noto Sans CJK KR" w:cs="Noto Sans CJK KR"/>
          <w:color w:val="000000"/>
          <w:sz w:val="6"/>
        </w:rPr>
      </w:r>
    </w:p>
    <w:p>
      <w:pPr>
        <w:pStyle w:val="Heading2"/>
      </w:pPr>
      <w:r>
        <w:rPr>
          <w:rFonts w:ascii="Noto Sans CJK KR" w:hAnsi="Noto Sans CJK KR" w:eastAsia="Noto Sans CJK KR" w:cs="Noto Sans CJK KR"/>
          <w:color w:val="000000"/>
        </w:rPr>
        <w:t>개발용 AI와 업무용 Agent의 환경</w:t>
      </w:r>
    </w:p>
    <w:p>
      <w:r>
        <w:rPr>
          <w:rFonts w:ascii="Noto Sans CJK KR" w:hAnsi="Noto Sans CJK KR" w:eastAsia="Noto Sans CJK KR" w:cs="Noto Sans CJK KR"/>
          <w:color w:val="000000"/>
        </w:rPr>
        <w:t>개발용 AI는 허용된 저장소와 개발 데이터에 접근한다. 운영 Agent는 승인된 업무 Tool에 접근한다. 두 환경의 계정, 비밀정보, 배포 권한을 구분하고, 실제 운영 데이터를 개발 작업에 사용할 때는 정해진 반출·가명처리 기준을 적용한다.</w:t>
      </w:r>
    </w:p>
    <w:p>
      <w:pPr>
        <w:pStyle w:val="Heading2"/>
      </w:pPr>
      <w:r>
        <w:rPr>
          <w:rFonts w:ascii="Noto Sans CJK KR" w:hAnsi="Noto Sans CJK KR" w:eastAsia="Noto Sans CJK KR" w:cs="Noto Sans CJK KR"/>
          <w:color w:val="000000"/>
        </w:rPr>
        <w:t>평가 가능한 개발 기준</w:t>
      </w:r>
    </w:p>
    <w:p>
      <w:r>
        <w:rPr>
          <w:rFonts w:ascii="Noto Sans CJK KR" w:hAnsi="Noto Sans CJK KR" w:eastAsia="Noto Sans CJK KR" w:cs="Noto Sans CJK KR"/>
          <w:color w:val="000000"/>
        </w:rPr>
        <w:t>Prompt 규칙은 개발 지침으로 사용하고 CI에서 테스트와 정책을 실제 집행한다. 코드, Prompt, Tool, 검색 설정 또는 모델 변경마다 영향이 있는 평가사례를 반복한다. 같은 모델 이름만으로 결과 재현성을 보장하지 않으며 실행 조건과 버전을 함께 기록한다.</w:t>
      </w:r>
    </w:p>
    <w:p>
      <w:pPr>
        <w:pStyle w:val="Heading1"/>
        <w:pageBreakBefore/>
        <w:spacing w:before="0"/>
      </w:pPr>
      <w:r>
        <w:rPr>
          <w:rFonts w:ascii="Noto Sans CJK KR" w:hAnsi="Noto Sans CJK KR" w:eastAsia="Noto Sans CJK KR" w:cs="Noto Sans CJK KR"/>
          <w:color w:val="000000"/>
        </w:rPr>
        <w:t>8 배포와 기존 시스템 연계</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84"/>
        <w:gridCol w:w="3312"/>
        <w:gridCol w:w="5126"/>
      </w:tblGrid>
      <w:tr>
        <w:trPr>
          <w:cantSplit/>
          <w:tblHeader/>
        </w:trPr>
        <w:tc>
          <w:tcPr>
            <w:tcW w:type="dxa" w:w="1584"/>
            <w:vAlign w:val="center"/>
            <w:tcMar>
              <w:top w:w="85" w:type="dxa"/>
              <w:bottom w:w="85" w:type="dxa"/>
              <w:left w:w="105" w:type="dxa"/>
              <w:right w:w="105" w:type="dxa"/>
            </w:tcMar>
            <w:shd w:fill="203F57"/>
          </w:tcPr>
          <w:p>
            <w:pPr>
              <w:keepNext w:val="0"/>
              <w:spacing w:after="0" w:line="278" w:lineRule="auto"/>
              <w:jc w:val="center"/>
            </w:pPr>
            <w:r>
              <w:rPr>
                <w:rFonts w:ascii="Noto Sans CJK KR" w:hAnsi="Noto Sans CJK KR" w:eastAsia="Noto Sans CJK KR" w:cs="Noto Sans CJK KR"/>
                <w:b/>
                <w:color w:val="FFFFFF"/>
                <w:sz w:val="20"/>
              </w:rPr>
              <w:t>배포 유형</w:t>
            </w:r>
          </w:p>
        </w:tc>
        <w:tc>
          <w:tcPr>
            <w:tcW w:type="dxa" w:w="3312"/>
            <w:vAlign w:val="center"/>
            <w:tcMar>
              <w:top w:w="85" w:type="dxa"/>
              <w:bottom w:w="85" w:type="dxa"/>
              <w:left w:w="105" w:type="dxa"/>
              <w:right w:w="105" w:type="dxa"/>
            </w:tcMar>
            <w:shd w:fill="203F57"/>
          </w:tcPr>
          <w:p>
            <w:pPr>
              <w:keepNext w:val="0"/>
              <w:spacing w:after="0" w:line="278" w:lineRule="auto"/>
            </w:pPr>
            <w:r>
              <w:rPr>
                <w:rFonts w:ascii="Noto Sans CJK KR" w:hAnsi="Noto Sans CJK KR" w:eastAsia="Noto Sans CJK KR" w:cs="Noto Sans CJK KR"/>
                <w:b/>
                <w:color w:val="FFFFFF"/>
                <w:sz w:val="20"/>
              </w:rPr>
              <w:t>적용 조건</w:t>
            </w:r>
          </w:p>
        </w:tc>
        <w:tc>
          <w:tcPr>
            <w:tcW w:type="dxa" w:w="5126"/>
            <w:vAlign w:val="center"/>
            <w:tcMar>
              <w:top w:w="85" w:type="dxa"/>
              <w:bottom w:w="85" w:type="dxa"/>
              <w:left w:w="105" w:type="dxa"/>
              <w:right w:w="105" w:type="dxa"/>
            </w:tcMar>
            <w:shd w:fill="203F57"/>
          </w:tcPr>
          <w:p>
            <w:pPr>
              <w:keepNext w:val="0"/>
              <w:spacing w:after="0" w:line="278" w:lineRule="auto"/>
            </w:pPr>
            <w:r>
              <w:rPr>
                <w:rFonts w:ascii="Noto Sans CJK KR" w:hAnsi="Noto Sans CJK KR" w:eastAsia="Noto Sans CJK KR" w:cs="Noto Sans CJK KR"/>
                <w:b/>
                <w:color w:val="FFFFFF"/>
                <w:sz w:val="20"/>
              </w:rPr>
              <w:t>구성 원칙</w:t>
            </w:r>
          </w:p>
        </w:tc>
      </w:tr>
      <w:tr>
        <w:trPr>
          <w:cantSplit/>
        </w:trPr>
        <w:tc>
          <w:tcPr>
            <w:tcW w:type="dxa" w:w="1584"/>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단일 서버</w:t>
            </w:r>
          </w:p>
        </w:tc>
        <w:tc>
          <w:tcPr>
            <w:tcW w:type="dxa" w:w="3312"/>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소규모 도입과 개발 검증</w:t>
            </w:r>
          </w:p>
        </w:tc>
        <w:tc>
          <w:tcPr>
            <w:tcW w:type="dxa" w:w="5126"/>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공통 계약을 유지하고 자원·프로세스 분리</w:t>
            </w:r>
          </w:p>
        </w:tc>
      </w:tr>
      <w:tr>
        <w:trPr>
          <w:cantSplit/>
        </w:trPr>
        <w:tc>
          <w:tcPr>
            <w:tcW w:type="dxa" w:w="1584"/>
            <w:vAlign w:val="center"/>
            <w:tcMar>
              <w:top w:w="85" w:type="dxa"/>
              <w:bottom w:w="85" w:type="dxa"/>
              <w:left w:w="105" w:type="dxa"/>
              <w:right w:w="105" w:type="dxa"/>
            </w:tcMar>
            <w:shd w:fill="F1F5F8"/>
          </w:tcPr>
          <w:p>
            <w:pPr>
              <w:keepNext w:val="0"/>
              <w:spacing w:after="0" w:line="278" w:lineRule="auto"/>
              <w:jc w:val="center"/>
            </w:pPr>
            <w:r>
              <w:rPr>
                <w:rFonts w:ascii="Noto Sans CJK KR" w:hAnsi="Noto Sans CJK KR" w:eastAsia="Noto Sans CJK KR" w:cs="Noto Sans CJK KR"/>
                <w:b w:val="0"/>
                <w:color w:val="000000"/>
                <w:sz w:val="20"/>
              </w:rPr>
              <w:t>분리 서버</w:t>
            </w:r>
          </w:p>
        </w:tc>
        <w:tc>
          <w:tcPr>
            <w:tcW w:type="dxa" w:w="3312"/>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AI 연산과 업무 운영의 분리 필요</w:t>
            </w:r>
          </w:p>
        </w:tc>
        <w:tc>
          <w:tcPr>
            <w:tcW w:type="dxa" w:w="5126"/>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업무·AI·DB 간 주소와 인증을 외부 설정</w:t>
            </w:r>
          </w:p>
        </w:tc>
      </w:tr>
      <w:tr>
        <w:trPr>
          <w:cantSplit/>
        </w:trPr>
        <w:tc>
          <w:tcPr>
            <w:tcW w:type="dxa" w:w="1584"/>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기존 시스템 확장</w:t>
            </w:r>
          </w:p>
        </w:tc>
        <w:tc>
          <w:tcPr>
            <w:tcW w:type="dxa" w:w="3312"/>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기존 Spring/eGov 또는 ERP 유지</w:t>
            </w:r>
          </w:p>
        </w:tc>
        <w:tc>
          <w:tcPr>
            <w:tcW w:type="dxa" w:w="5126"/>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API와 Tool 어댑터에서 연결과 버전 차이 처리</w:t>
            </w:r>
          </w:p>
        </w:tc>
      </w:tr>
      <w:tr>
        <w:trPr>
          <w:cantSplit/>
        </w:trPr>
        <w:tc>
          <w:tcPr>
            <w:tcW w:type="dxa" w:w="1584"/>
            <w:vAlign w:val="center"/>
            <w:tcMar>
              <w:top w:w="85" w:type="dxa"/>
              <w:bottom w:w="85" w:type="dxa"/>
              <w:left w:w="105" w:type="dxa"/>
              <w:right w:w="105" w:type="dxa"/>
            </w:tcMar>
            <w:shd w:fill="F1F5F8"/>
          </w:tcPr>
          <w:p>
            <w:pPr>
              <w:keepNext w:val="0"/>
              <w:spacing w:after="0" w:line="278" w:lineRule="auto"/>
              <w:jc w:val="center"/>
            </w:pPr>
            <w:r>
              <w:rPr>
                <w:rFonts w:ascii="Noto Sans CJK KR" w:hAnsi="Noto Sans CJK KR" w:eastAsia="Noto Sans CJK KR" w:cs="Noto Sans CJK KR"/>
                <w:b w:val="0"/>
                <w:color w:val="000000"/>
                <w:sz w:val="20"/>
              </w:rPr>
              <w:t>확장 운영</w:t>
            </w:r>
          </w:p>
        </w:tc>
        <w:tc>
          <w:tcPr>
            <w:tcW w:type="dxa" w:w="3312"/>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가용성·격리·자동 확장 요구</w:t>
            </w:r>
          </w:p>
        </w:tc>
        <w:tc>
          <w:tcPr>
            <w:tcW w:type="dxa" w:w="5126"/>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운영 역량에 맞춰 컨테이너와 오케스트레이션 선택</w:t>
            </w:r>
          </w:p>
        </w:tc>
      </w:tr>
    </w:tbl>
    <w:p>
      <w:pPr>
        <w:spacing w:after="0" w:before="0" w:line="80" w:lineRule="exact"/>
      </w:pPr>
      <w:r>
        <w:rPr>
          <w:rFonts w:ascii="Noto Sans CJK KR" w:hAnsi="Noto Sans CJK KR" w:eastAsia="Noto Sans CJK KR" w:cs="Noto Sans CJK KR"/>
          <w:color w:val="000000"/>
          <w:sz w:val="6"/>
        </w:rPr>
      </w:r>
    </w:p>
    <w:p>
      <w:r>
        <w:rPr>
          <w:rFonts w:ascii="Noto Sans CJK KR" w:hAnsi="Noto Sans CJK KR" w:eastAsia="Noto Sans CJK KR" w:cs="Noto Sans CJK KR"/>
          <w:color w:val="000000"/>
        </w:rPr>
        <w:t>서비스 경계를 먼저 정하고 배포 단위는 운영 규모에 맞춰 선택한다. 단일 Tomcat의 여러 Context와 별도 서버 배포는 세션 공유를 전제로 하지 않으며 공통 인증과 명시적인 API 호출로 연계한다. 서비스별 DB 접근 소유권도 정한다.</w:t>
      </w:r>
    </w:p>
    <w:p>
      <w:pPr>
        <w:pStyle w:val="Heading2"/>
      </w:pPr>
      <w:r>
        <w:rPr>
          <w:rFonts w:ascii="Noto Sans CJK KR" w:hAnsi="Noto Sans CJK KR" w:eastAsia="Noto Sans CJK KR" w:cs="Noto Sans CJK KR"/>
          <w:color w:val="000000"/>
        </w:rPr>
        <w:t>기술 호환성의 관리</w:t>
      </w:r>
    </w:p>
    <w:p>
      <w:r>
        <w:rPr>
          <w:rFonts w:ascii="Noto Sans CJK KR" w:hAnsi="Noto Sans CJK KR" w:eastAsia="Noto Sans CJK KR" w:cs="Noto Sans CJK KR"/>
          <w:color w:val="000000"/>
        </w:rPr>
        <w:t>기존 전자정부프레임워크와 Spring 애플리케이션은 현재 의존성을 기준으로 호환성을 확인한다. Spring AI는 지원하는 Spring Boot 계열이 정해져 있으므로, 기존 애플리케이션에 직접 추가하기 어려우면 별도 AI 서비스에서 연결한다 [R1].</w:t>
      </w:r>
    </w:p>
    <w:p>
      <w:pPr>
        <w:pStyle w:val="Heading2"/>
      </w:pPr>
      <w:r>
        <w:rPr>
          <w:rFonts w:ascii="Noto Sans CJK KR" w:hAnsi="Noto Sans CJK KR" w:eastAsia="Noto Sans CJK KR" w:cs="Noto Sans CJK KR"/>
          <w:color w:val="000000"/>
        </w:rPr>
        <w:t>웹과 설치형 화면</w:t>
      </w:r>
    </w:p>
    <w:p>
      <w:r>
        <w:rPr>
          <w:rFonts w:ascii="Noto Sans CJK KR" w:hAnsi="Noto Sans CJK KR" w:eastAsia="Noto Sans CJK KR" w:cs="Noto Sans CJK KR"/>
          <w:color w:val="000000"/>
        </w:rPr>
        <w:t>신규 공통 화면은 TypeScript 기반 반응형 UI를 기준으로 설계하고 기존 JSP 화면은 연계·전환 범위를 정한다. 그리드는 키보드 접근, 모바일 표시와 데이터량을 검증한다. jqGrid 계열은 배포판, 버전과 라이선스를 확정해 공통 컴포넌트로 관리한다.</w:t>
      </w:r>
    </w:p>
    <w:p>
      <w:r>
        <w:rPr>
          <w:rFonts w:ascii="Noto Sans CJK KR" w:hAnsi="Noto Sans CJK KR" w:eastAsia="Noto Sans CJK KR" w:cs="Noto Sans CJK KR"/>
          <w:color w:val="000000"/>
        </w:rPr>
        <w:t>Windows 프로그램과 모바일 앱은 공통 API와 화면 자산을 재사용하되, 파일·장치 접근, 인증 복귀, 서명, 업데이트와 배포 채널을 별도로 검증한다. 앱 포장만으로 모든 기기의 동작이 동일하다고 판단하지 않는다.</w:t>
      </w:r>
    </w:p>
    <w:p>
      <w:pPr>
        <w:pStyle w:val="Heading1"/>
        <w:pageBreakBefore/>
        <w:spacing w:before="0"/>
      </w:pPr>
      <w:r>
        <w:rPr>
          <w:rFonts w:ascii="Noto Sans CJK KR" w:hAnsi="Noto Sans CJK KR" w:eastAsia="Noto Sans CJK KR" w:cs="Noto Sans CJK KR"/>
          <w:color w:val="000000"/>
        </w:rPr>
        <w:t>9 권한 운영과 장애 대응</w:t>
      </w:r>
    </w:p>
    <w:p>
      <w:r>
        <w:rPr>
          <w:rFonts w:ascii="Noto Sans CJK KR" w:hAnsi="Noto Sans CJK KR" w:eastAsia="Noto Sans CJK KR" w:cs="Noto Sans CJK KR"/>
          <w:color w:val="000000"/>
        </w:rPr>
        <w:t>플랫폼의 운영 기록은 사용자와 Agent의 요청을 실제 업무 결과에 연결해야 한다. 사고 분석에 필요한 실행 증적을 보존하되, 비밀번호와 토큰, 민감한 원문 전체를 기본 로그에 남기지 않는다. Spring AI도 Prompt와 응답 내용의 로깅을 기본적으로 비활성화하며 민감정보 노출 가능성을 설명한다 [R5].</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656"/>
        <w:gridCol w:w="4464"/>
        <w:gridCol w:w="3902"/>
      </w:tblGrid>
      <w:tr>
        <w:trPr>
          <w:cantSplit/>
          <w:tblHeader/>
        </w:trPr>
        <w:tc>
          <w:tcPr>
            <w:tcW w:type="dxa" w:w="1656"/>
            <w:vAlign w:val="center"/>
            <w:tcMar>
              <w:top w:w="85" w:type="dxa"/>
              <w:bottom w:w="85" w:type="dxa"/>
              <w:left w:w="105" w:type="dxa"/>
              <w:right w:w="105" w:type="dxa"/>
            </w:tcMar>
            <w:shd w:fill="203F57"/>
          </w:tcPr>
          <w:p>
            <w:pPr>
              <w:keepNext w:val="0"/>
              <w:spacing w:after="0" w:line="278" w:lineRule="auto"/>
              <w:jc w:val="center"/>
            </w:pPr>
            <w:r>
              <w:rPr>
                <w:rFonts w:ascii="Noto Sans CJK KR" w:hAnsi="Noto Sans CJK KR" w:eastAsia="Noto Sans CJK KR" w:cs="Noto Sans CJK KR"/>
                <w:b/>
                <w:color w:val="FFFFFF"/>
                <w:sz w:val="20"/>
              </w:rPr>
              <w:t>운영 대상</w:t>
            </w:r>
          </w:p>
        </w:tc>
        <w:tc>
          <w:tcPr>
            <w:tcW w:type="dxa" w:w="4464"/>
            <w:vAlign w:val="center"/>
            <w:tcMar>
              <w:top w:w="85" w:type="dxa"/>
              <w:bottom w:w="85" w:type="dxa"/>
              <w:left w:w="105" w:type="dxa"/>
              <w:right w:w="105" w:type="dxa"/>
            </w:tcMar>
            <w:shd w:fill="203F57"/>
          </w:tcPr>
          <w:p>
            <w:pPr>
              <w:keepNext w:val="0"/>
              <w:spacing w:after="0" w:line="278" w:lineRule="auto"/>
            </w:pPr>
            <w:r>
              <w:rPr>
                <w:rFonts w:ascii="Noto Sans CJK KR" w:hAnsi="Noto Sans CJK KR" w:eastAsia="Noto Sans CJK KR" w:cs="Noto Sans CJK KR"/>
                <w:b/>
                <w:color w:val="FFFFFF"/>
                <w:sz w:val="20"/>
              </w:rPr>
              <w:t>필수 기록 또는 통제</w:t>
            </w:r>
          </w:p>
        </w:tc>
        <w:tc>
          <w:tcPr>
            <w:tcW w:type="dxa" w:w="3902"/>
            <w:vAlign w:val="center"/>
            <w:tcMar>
              <w:top w:w="85" w:type="dxa"/>
              <w:bottom w:w="85" w:type="dxa"/>
              <w:left w:w="105" w:type="dxa"/>
              <w:right w:w="105" w:type="dxa"/>
            </w:tcMar>
            <w:shd w:fill="203F57"/>
          </w:tcPr>
          <w:p>
            <w:pPr>
              <w:keepNext w:val="0"/>
              <w:spacing w:after="0" w:line="278" w:lineRule="auto"/>
            </w:pPr>
            <w:r>
              <w:rPr>
                <w:rFonts w:ascii="Noto Sans CJK KR" w:hAnsi="Noto Sans CJK KR" w:eastAsia="Noto Sans CJK KR" w:cs="Noto Sans CJK KR"/>
                <w:b/>
                <w:color w:val="FFFFFF"/>
                <w:sz w:val="20"/>
              </w:rPr>
              <w:t>확인할 상황</w:t>
            </w:r>
          </w:p>
        </w:tc>
      </w:tr>
      <w:tr>
        <w:trPr>
          <w:cantSplit/>
        </w:trPr>
        <w:tc>
          <w:tcPr>
            <w:tcW w:type="dxa" w:w="1656"/>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사용자와 Agent</w:t>
            </w:r>
          </w:p>
        </w:tc>
        <w:tc>
          <w:tcPr>
            <w:tcW w:type="dxa" w:w="4464"/>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사용자 ID, Agent ID, 위임 범위, 만료</w:t>
            </w:r>
          </w:p>
        </w:tc>
        <w:tc>
          <w:tcPr>
            <w:tcW w:type="dxa" w:w="3902"/>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권한 회수 후 실행 차단</w:t>
            </w:r>
          </w:p>
        </w:tc>
      </w:tr>
      <w:tr>
        <w:trPr>
          <w:cantSplit/>
        </w:trPr>
        <w:tc>
          <w:tcPr>
            <w:tcW w:type="dxa" w:w="1656"/>
            <w:vAlign w:val="center"/>
            <w:tcMar>
              <w:top w:w="85" w:type="dxa"/>
              <w:bottom w:w="85" w:type="dxa"/>
              <w:left w:w="105" w:type="dxa"/>
              <w:right w:w="105" w:type="dxa"/>
            </w:tcMar>
            <w:shd w:fill="F1F5F8"/>
          </w:tcPr>
          <w:p>
            <w:pPr>
              <w:keepNext w:val="0"/>
              <w:spacing w:after="0" w:line="278" w:lineRule="auto"/>
              <w:jc w:val="center"/>
            </w:pPr>
            <w:r>
              <w:rPr>
                <w:rFonts w:ascii="Noto Sans CJK KR" w:hAnsi="Noto Sans CJK KR" w:eastAsia="Noto Sans CJK KR" w:cs="Noto Sans CJK KR"/>
                <w:b w:val="0"/>
                <w:color w:val="000000"/>
                <w:sz w:val="20"/>
              </w:rPr>
              <w:t>실행과 승인</w:t>
            </w:r>
          </w:p>
        </w:tc>
        <w:tc>
          <w:tcPr>
            <w:tcW w:type="dxa" w:w="4464"/>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Tool 버전, 입력 해시, 승인, 결과, 추적 ID</w:t>
            </w:r>
          </w:p>
        </w:tc>
        <w:tc>
          <w:tcPr>
            <w:tcW w:type="dxa" w:w="3902"/>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입력 변경과 승인 만료</w:t>
            </w:r>
          </w:p>
        </w:tc>
      </w:tr>
      <w:tr>
        <w:trPr>
          <w:cantSplit/>
        </w:trPr>
        <w:tc>
          <w:tcPr>
            <w:tcW w:type="dxa" w:w="1656"/>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모델과 검색</w:t>
            </w:r>
          </w:p>
        </w:tc>
        <w:tc>
          <w:tcPr>
            <w:tcW w:type="dxa" w:w="4464"/>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모델 버전, 색인 버전, 근거, 지연, 사용량</w:t>
            </w:r>
          </w:p>
        </w:tc>
        <w:tc>
          <w:tcPr>
            <w:tcW w:type="dxa" w:w="3902"/>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모델 장애와 검색 누락</w:t>
            </w:r>
          </w:p>
        </w:tc>
      </w:tr>
      <w:tr>
        <w:trPr>
          <w:cantSplit/>
        </w:trPr>
        <w:tc>
          <w:tcPr>
            <w:tcW w:type="dxa" w:w="1656"/>
            <w:vAlign w:val="center"/>
            <w:tcMar>
              <w:top w:w="85" w:type="dxa"/>
              <w:bottom w:w="85" w:type="dxa"/>
              <w:left w:w="105" w:type="dxa"/>
              <w:right w:w="105" w:type="dxa"/>
            </w:tcMar>
            <w:shd w:fill="F1F5F8"/>
          </w:tcPr>
          <w:p>
            <w:pPr>
              <w:keepNext w:val="0"/>
              <w:spacing w:after="0" w:line="278" w:lineRule="auto"/>
              <w:jc w:val="center"/>
            </w:pPr>
            <w:r>
              <w:rPr>
                <w:rFonts w:ascii="Noto Sans CJK KR" w:hAnsi="Noto Sans CJK KR" w:eastAsia="Noto Sans CJK KR" w:cs="Noto Sans CJK KR"/>
                <w:b w:val="0"/>
                <w:color w:val="000000"/>
                <w:sz w:val="20"/>
              </w:rPr>
              <w:t>업무 변경</w:t>
            </w:r>
          </w:p>
        </w:tc>
        <w:tc>
          <w:tcPr>
            <w:tcW w:type="dxa" w:w="4464"/>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대상 ID, 변경 전후 상태, 중복 처리 결과</w:t>
            </w:r>
          </w:p>
        </w:tc>
        <w:tc>
          <w:tcPr>
            <w:tcW w:type="dxa" w:w="3902"/>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시간초과와 부분 성공</w:t>
            </w:r>
          </w:p>
        </w:tc>
      </w:tr>
      <w:tr>
        <w:trPr>
          <w:cantSplit/>
        </w:trPr>
        <w:tc>
          <w:tcPr>
            <w:tcW w:type="dxa" w:w="1656"/>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복구</w:t>
            </w:r>
          </w:p>
        </w:tc>
        <w:tc>
          <w:tcPr>
            <w:tcW w:type="dxa" w:w="4464"/>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백업, 복원 결과, 배포 버전, 설정 변경</w:t>
            </w:r>
          </w:p>
        </w:tc>
        <w:tc>
          <w:tcPr>
            <w:tcW w:type="dxa" w:w="3902"/>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복원 시간과 데이터 손실 범위</w:t>
            </w:r>
          </w:p>
        </w:tc>
      </w:tr>
    </w:tbl>
    <w:p>
      <w:pPr>
        <w:spacing w:after="0" w:before="0" w:line="80" w:lineRule="exact"/>
      </w:pPr>
      <w:r>
        <w:rPr>
          <w:rFonts w:ascii="Noto Sans CJK KR" w:hAnsi="Noto Sans CJK KR" w:eastAsia="Noto Sans CJK KR" w:cs="Noto Sans CJK KR"/>
          <w:color w:val="000000"/>
          <w:sz w:val="6"/>
        </w:rPr>
      </w:r>
    </w:p>
    <w:p>
      <w:pPr>
        <w:pStyle w:val="Heading2"/>
      </w:pPr>
      <w:r>
        <w:rPr>
          <w:rFonts w:ascii="Noto Sans CJK KR" w:hAnsi="Noto Sans CJK KR" w:eastAsia="Noto Sans CJK KR" w:cs="Noto Sans CJK KR"/>
          <w:color w:val="000000"/>
        </w:rPr>
        <w:t>자동 실행 범위의 정의</w:t>
      </w:r>
    </w:p>
    <w:p>
      <w:r>
        <w:rPr>
          <w:rFonts w:ascii="Noto Sans CJK KR" w:hAnsi="Noto Sans CJK KR" w:eastAsia="Noto Sans CJK KR" w:cs="Noto Sans CJK KR"/>
          <w:color w:val="000000"/>
        </w:rPr>
        <w:t>업무별로 조회, 초안 작성, 승인 후 실행, 조건부 자동 실행의 허용 범위를 정한다. 금액·대상 수·업무 상태·호출 횟수와 실행 시간을 정책으로 제한한다. 승인 대기나 실패 상태는 저장하고 운영자가 재개 또는 종료할 수 있게 한다.</w:t>
      </w:r>
    </w:p>
    <w:p>
      <w:pPr>
        <w:pStyle w:val="Heading2"/>
      </w:pPr>
      <w:r>
        <w:rPr>
          <w:rFonts w:ascii="Noto Sans CJK KR" w:hAnsi="Noto Sans CJK KR" w:eastAsia="Noto Sans CJK KR" w:cs="Noto Sans CJK KR"/>
          <w:color w:val="000000"/>
        </w:rPr>
        <w:t>운영 책임과 서비스 수준</w:t>
      </w:r>
    </w:p>
    <w:p>
      <w:r>
        <w:rPr>
          <w:rFonts w:ascii="Noto Sans CJK KR" w:hAnsi="Noto Sans CJK KR" w:eastAsia="Noto Sans CJK KR" w:cs="Noto Sans CJK KR"/>
          <w:color w:val="000000"/>
        </w:rPr>
        <w:t>업무 책임자는 실행 정책과 결과를 소유하고, 플랫폼 운영자는 공통 서비스와 복구를 담당한다. AI 품질 담당자는 평가사례와 변경 영향도를 관리한다. 응답시간, 가용성, 복구목표와 예산 한도는 업무의 영향도와 부하 측정 후 합의한다.</w:t>
      </w:r>
    </w:p>
    <w:p>
      <w:pPr>
        <w:pStyle w:val="Heading1"/>
        <w:pageBreakBefore/>
        <w:spacing w:before="0"/>
      </w:pPr>
      <w:r>
        <w:rPr>
          <w:rFonts w:ascii="Noto Sans CJK KR" w:hAnsi="Noto Sans CJK KR" w:eastAsia="Noto Sans CJK KR" w:cs="Noto Sans CJK KR"/>
          <w:color w:val="000000"/>
        </w:rPr>
        <w:t>10 도입 WBS와 단계별 산출물</w:t>
      </w:r>
    </w:p>
    <w:p>
      <w:r>
        <w:rPr>
          <w:rFonts w:ascii="Noto Sans CJK KR" w:hAnsi="Noto Sans CJK KR" w:eastAsia="Noto Sans CJK KR" w:cs="Noto Sans CJK KR"/>
          <w:color w:val="000000"/>
        </w:rPr>
        <w:t>일정은 기존 시스템 수, 데이터 상태와 연계 범위에 따라 산정한다. 다음 WBS는 선행 조건과 완료 기준을 갖는 작업 묶음이며 각 단계의 책임자와 예상 기간은 착수 시 확정한다.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12"/>
        <w:gridCol w:w="4680"/>
        <w:gridCol w:w="3830"/>
      </w:tblGrid>
      <w:tr>
        <w:trPr>
          <w:cantSplit/>
          <w:tblHeader/>
        </w:trPr>
        <w:tc>
          <w:tcPr>
            <w:tcW w:type="dxa" w:w="1512"/>
            <w:vAlign w:val="center"/>
            <w:tcMar>
              <w:top w:w="85" w:type="dxa"/>
              <w:bottom w:w="85" w:type="dxa"/>
              <w:left w:w="105" w:type="dxa"/>
              <w:right w:w="105" w:type="dxa"/>
            </w:tcMar>
            <w:shd w:fill="203F57"/>
          </w:tcPr>
          <w:p>
            <w:pPr>
              <w:keepNext w:val="0"/>
              <w:spacing w:after="0" w:line="278" w:lineRule="auto"/>
              <w:jc w:val="center"/>
            </w:pPr>
            <w:r>
              <w:rPr>
                <w:rFonts w:ascii="Noto Sans CJK KR" w:hAnsi="Noto Sans CJK KR" w:eastAsia="Noto Sans CJK KR" w:cs="Noto Sans CJK KR"/>
                <w:b/>
                <w:color w:val="FFFFFF"/>
                <w:sz w:val="20"/>
              </w:rPr>
              <w:t>단계</w:t>
            </w:r>
          </w:p>
        </w:tc>
        <w:tc>
          <w:tcPr>
            <w:tcW w:type="dxa" w:w="4680"/>
            <w:vAlign w:val="center"/>
            <w:tcMar>
              <w:top w:w="85" w:type="dxa"/>
              <w:bottom w:w="85" w:type="dxa"/>
              <w:left w:w="105" w:type="dxa"/>
              <w:right w:w="105" w:type="dxa"/>
            </w:tcMar>
            <w:shd w:fill="203F57"/>
          </w:tcPr>
          <w:p>
            <w:pPr>
              <w:keepNext w:val="0"/>
              <w:spacing w:after="0" w:line="278" w:lineRule="auto"/>
            </w:pPr>
            <w:r>
              <w:rPr>
                <w:rFonts w:ascii="Noto Sans CJK KR" w:hAnsi="Noto Sans CJK KR" w:eastAsia="Noto Sans CJK KR" w:cs="Noto Sans CJK KR"/>
                <w:b/>
                <w:color w:val="FFFFFF"/>
                <w:sz w:val="20"/>
              </w:rPr>
              <w:t>핵심 작업과 산출물</w:t>
            </w:r>
          </w:p>
        </w:tc>
        <w:tc>
          <w:tcPr>
            <w:tcW w:type="dxa" w:w="3830"/>
            <w:vAlign w:val="center"/>
            <w:tcMar>
              <w:top w:w="85" w:type="dxa"/>
              <w:bottom w:w="85" w:type="dxa"/>
              <w:left w:w="105" w:type="dxa"/>
              <w:right w:w="105" w:type="dxa"/>
            </w:tcMar>
            <w:shd w:fill="203F57"/>
          </w:tcPr>
          <w:p>
            <w:pPr>
              <w:keepNext w:val="0"/>
              <w:spacing w:after="0" w:line="278" w:lineRule="auto"/>
            </w:pPr>
            <w:r>
              <w:rPr>
                <w:rFonts w:ascii="Noto Sans CJK KR" w:hAnsi="Noto Sans CJK KR" w:eastAsia="Noto Sans CJK KR" w:cs="Noto Sans CJK KR"/>
                <w:b/>
                <w:color w:val="FFFFFF"/>
                <w:sz w:val="20"/>
              </w:rPr>
              <w:t>완료 기준</w:t>
            </w:r>
          </w:p>
        </w:tc>
      </w:tr>
      <w:tr>
        <w:trPr>
          <w:cantSplit/>
        </w:trPr>
        <w:tc>
          <w:tcPr>
            <w:tcW w:type="dxa" w:w="1512"/>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1 현황 분석</w:t>
            </w:r>
          </w:p>
        </w:tc>
        <w:tc>
          <w:tcPr>
            <w:tcW w:type="dxa" w:w="4680"/>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업무·연계·권한·데이터 목록, 효과 기준선</w:t>
            </w:r>
          </w:p>
        </w:tc>
        <w:tc>
          <w:tcPr>
            <w:tcW w:type="dxa" w:w="3830"/>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파일럿과 제외 범위 확정</w:t>
            </w:r>
          </w:p>
        </w:tc>
      </w:tr>
      <w:tr>
        <w:trPr>
          <w:cantSplit/>
        </w:trPr>
        <w:tc>
          <w:tcPr>
            <w:tcW w:type="dxa" w:w="1512"/>
            <w:vAlign w:val="center"/>
            <w:tcMar>
              <w:top w:w="85" w:type="dxa"/>
              <w:bottom w:w="85" w:type="dxa"/>
              <w:left w:w="105" w:type="dxa"/>
              <w:right w:w="105" w:type="dxa"/>
            </w:tcMar>
            <w:shd w:fill="F1F5F8"/>
          </w:tcPr>
          <w:p>
            <w:pPr>
              <w:keepNext w:val="0"/>
              <w:spacing w:after="0" w:line="278" w:lineRule="auto"/>
              <w:jc w:val="center"/>
            </w:pPr>
            <w:r>
              <w:rPr>
                <w:rFonts w:ascii="Noto Sans CJK KR" w:hAnsi="Noto Sans CJK KR" w:eastAsia="Noto Sans CJK KR" w:cs="Noto Sans CJK KR"/>
                <w:b w:val="0"/>
                <w:color w:val="000000"/>
                <w:sz w:val="20"/>
              </w:rPr>
              <w:t>2 표준 설계</w:t>
            </w:r>
          </w:p>
        </w:tc>
        <w:tc>
          <w:tcPr>
            <w:tcW w:type="dxa" w:w="4680"/>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참조 구조, 모듈 경계, API·Tool·권한 계약</w:t>
            </w:r>
          </w:p>
        </w:tc>
        <w:tc>
          <w:tcPr>
            <w:tcW w:type="dxa" w:w="3830"/>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대표 업무의 설계 검토 완료</w:t>
            </w:r>
          </w:p>
        </w:tc>
      </w:tr>
      <w:tr>
        <w:trPr>
          <w:cantSplit/>
        </w:trPr>
        <w:tc>
          <w:tcPr>
            <w:tcW w:type="dxa" w:w="1512"/>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3 공통 기반</w:t>
            </w:r>
          </w:p>
        </w:tc>
        <w:tc>
          <w:tcPr>
            <w:tcW w:type="dxa" w:w="4680"/>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SSO, 설정, 로그, 템플릿, 빌드와 배포</w:t>
            </w:r>
          </w:p>
        </w:tc>
        <w:tc>
          <w:tcPr>
            <w:tcW w:type="dxa" w:w="3830"/>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일반 업무의 생성·배포 재현</w:t>
            </w:r>
          </w:p>
        </w:tc>
      </w:tr>
      <w:tr>
        <w:trPr>
          <w:cantSplit/>
        </w:trPr>
        <w:tc>
          <w:tcPr>
            <w:tcW w:type="dxa" w:w="1512"/>
            <w:vAlign w:val="center"/>
            <w:tcMar>
              <w:top w:w="85" w:type="dxa"/>
              <w:bottom w:w="85" w:type="dxa"/>
              <w:left w:w="105" w:type="dxa"/>
              <w:right w:w="105" w:type="dxa"/>
            </w:tcMar>
            <w:shd w:fill="F1F5F8"/>
          </w:tcPr>
          <w:p>
            <w:pPr>
              <w:keepNext w:val="0"/>
              <w:spacing w:after="0" w:line="278" w:lineRule="auto"/>
              <w:jc w:val="center"/>
            </w:pPr>
            <w:r>
              <w:rPr>
                <w:rFonts w:ascii="Noto Sans CJK KR" w:hAnsi="Noto Sans CJK KR" w:eastAsia="Noto Sans CJK KR" w:cs="Noto Sans CJK KR"/>
                <w:b w:val="0"/>
                <w:color w:val="000000"/>
                <w:sz w:val="20"/>
              </w:rPr>
              <w:t>4 AI 기반</w:t>
            </w:r>
          </w:p>
        </w:tc>
        <w:tc>
          <w:tcPr>
            <w:tcW w:type="dxa" w:w="4680"/>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모델 연결, 권한 검색, Tool, 실행상태</w:t>
            </w:r>
          </w:p>
        </w:tc>
        <w:tc>
          <w:tcPr>
            <w:tcW w:type="dxa" w:w="3830"/>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모델 장애와 권한 회수 검증</w:t>
            </w:r>
          </w:p>
        </w:tc>
      </w:tr>
      <w:tr>
        <w:trPr>
          <w:cantSplit/>
        </w:trPr>
        <w:tc>
          <w:tcPr>
            <w:tcW w:type="dxa" w:w="1512"/>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5 업무 파일럿</w:t>
            </w:r>
          </w:p>
        </w:tc>
        <w:tc>
          <w:tcPr>
            <w:tcW w:type="dxa" w:w="4680"/>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자재 검색, ETL 분석, 승인 후 실행</w:t>
            </w:r>
          </w:p>
        </w:tc>
        <w:tc>
          <w:tcPr>
            <w:tcW w:type="dxa" w:w="3830"/>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수용 기준과 회귀평가 통과</w:t>
            </w:r>
          </w:p>
        </w:tc>
      </w:tr>
      <w:tr>
        <w:trPr>
          <w:cantSplit/>
        </w:trPr>
        <w:tc>
          <w:tcPr>
            <w:tcW w:type="dxa" w:w="1512"/>
            <w:vAlign w:val="center"/>
            <w:tcMar>
              <w:top w:w="85" w:type="dxa"/>
              <w:bottom w:w="85" w:type="dxa"/>
              <w:left w:w="105" w:type="dxa"/>
              <w:right w:w="105" w:type="dxa"/>
            </w:tcMar>
            <w:shd w:fill="F1F5F8"/>
          </w:tcPr>
          <w:p>
            <w:pPr>
              <w:keepNext w:val="0"/>
              <w:spacing w:after="0" w:line="278" w:lineRule="auto"/>
              <w:jc w:val="center"/>
            </w:pPr>
            <w:r>
              <w:rPr>
                <w:rFonts w:ascii="Noto Sans CJK KR" w:hAnsi="Noto Sans CJK KR" w:eastAsia="Noto Sans CJK KR" w:cs="Noto Sans CJK KR"/>
                <w:b w:val="0"/>
                <w:color w:val="000000"/>
                <w:sz w:val="20"/>
              </w:rPr>
              <w:t>6 운영 전환</w:t>
            </w:r>
          </w:p>
        </w:tc>
        <w:tc>
          <w:tcPr>
            <w:tcW w:type="dxa" w:w="4680"/>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부하·복원·장애훈련, 운영·인수 문서</w:t>
            </w:r>
          </w:p>
        </w:tc>
        <w:tc>
          <w:tcPr>
            <w:tcW w:type="dxa" w:w="3830"/>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담당자 확인과 롤백 준비</w:t>
            </w:r>
          </w:p>
        </w:tc>
      </w:tr>
      <w:tr>
        <w:trPr>
          <w:cantSplit/>
        </w:trPr>
        <w:tc>
          <w:tcPr>
            <w:tcW w:type="dxa" w:w="1512"/>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7 재사용 확대</w:t>
            </w:r>
          </w:p>
        </w:tc>
        <w:tc>
          <w:tcPr>
            <w:tcW w:type="dxa" w:w="4680"/>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템플릿 개선, 버전정책, 다음 업무 적용</w:t>
            </w:r>
          </w:p>
        </w:tc>
        <w:tc>
          <w:tcPr>
            <w:tcW w:type="dxa" w:w="3830"/>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기존 프로젝트 호환성 확인</w:t>
            </w:r>
          </w:p>
        </w:tc>
      </w:tr>
    </w:tbl>
    <w:p>
      <w:pPr>
        <w:spacing w:after="0" w:before="0" w:line="80" w:lineRule="exact"/>
      </w:pPr>
      <w:r>
        <w:rPr>
          <w:rFonts w:ascii="Noto Sans CJK KR" w:hAnsi="Noto Sans CJK KR" w:eastAsia="Noto Sans CJK KR" w:cs="Noto Sans CJK KR"/>
          <w:color w:val="000000"/>
          <w:sz w:val="6"/>
        </w:rPr>
      </w:r>
    </w:p>
    <w:p>
      <w:pPr>
        <w:pStyle w:val="Heading2"/>
      </w:pPr>
      <w:r>
        <w:rPr>
          <w:rFonts w:ascii="Noto Sans CJK KR" w:hAnsi="Noto Sans CJK KR" w:eastAsia="Noto Sans CJK KR" w:cs="Noto Sans CJK KR"/>
          <w:color w:val="000000"/>
        </w:rPr>
        <w:t>표준 산출물의 연결</w:t>
      </w:r>
    </w:p>
    <w:p>
      <w:r>
        <w:rPr>
          <w:rFonts w:ascii="Noto Sans CJK KR" w:hAnsi="Noto Sans CJK KR" w:eastAsia="Noto Sans CJK KR" w:cs="Noto Sans CJK KR"/>
          <w:color w:val="000000"/>
        </w:rPr>
        <w:t>요구사항 ID를 화면, API, Tool, 권한 정책, 테스트와 운영 지표에 연결한다. Agent 목록에는 소유자, 목적, 모델과 Tool 버전, 접근 데이터, 자동 실행 범위와 평가 결과를 기록한다.</w:t>
      </w:r>
    </w:p>
    <w:p>
      <w:r>
        <w:rPr>
          <w:rFonts w:ascii="Noto Sans CJK KR" w:hAnsi="Noto Sans CJK KR" w:eastAsia="Noto Sans CJK KR" w:cs="Noto Sans CJK KR"/>
          <w:color w:val="000000"/>
        </w:rPr>
        <w:t>프로젝트 종료 시 소스와 빌드 정보, 설치·검증·롤백 문서, 환경설정 규약, 데이터 이관 결과, 평가사례와 장애 대응 연락체계를 인계한다. 공통 플랫폼의 변경과 업무 모듈의 변경을 구분해 릴리스한다.</w:t>
      </w:r>
    </w:p>
    <w:p>
      <w:pPr>
        <w:pStyle w:val="Heading1"/>
        <w:pageBreakBefore/>
        <w:spacing w:before="0"/>
      </w:pPr>
      <w:r>
        <w:rPr>
          <w:rFonts w:ascii="Noto Sans CJK KR" w:hAnsi="Noto Sans CJK KR" w:eastAsia="Noto Sans CJK KR" w:cs="Noto Sans CJK KR"/>
          <w:color w:val="000000"/>
        </w:rPr>
        <w:t>11 파일럿 시나리오와 효과 측정</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656"/>
        <w:gridCol w:w="4104"/>
        <w:gridCol w:w="4262"/>
      </w:tblGrid>
      <w:tr>
        <w:trPr>
          <w:cantSplit/>
          <w:tblHeader/>
        </w:trPr>
        <w:tc>
          <w:tcPr>
            <w:tcW w:type="dxa" w:w="1656"/>
            <w:vAlign w:val="center"/>
            <w:tcMar>
              <w:top w:w="85" w:type="dxa"/>
              <w:bottom w:w="85" w:type="dxa"/>
              <w:left w:w="105" w:type="dxa"/>
              <w:right w:w="105" w:type="dxa"/>
            </w:tcMar>
            <w:shd w:fill="203F57"/>
          </w:tcPr>
          <w:p>
            <w:pPr>
              <w:keepNext w:val="0"/>
              <w:spacing w:after="0" w:line="278" w:lineRule="auto"/>
              <w:jc w:val="center"/>
            </w:pPr>
            <w:r>
              <w:rPr>
                <w:rFonts w:ascii="Noto Sans CJK KR" w:hAnsi="Noto Sans CJK KR" w:eastAsia="Noto Sans CJK KR" w:cs="Noto Sans CJK KR"/>
                <w:b/>
                <w:color w:val="FFFFFF"/>
                <w:sz w:val="20"/>
              </w:rPr>
              <w:t>파일럿</w:t>
            </w:r>
          </w:p>
        </w:tc>
        <w:tc>
          <w:tcPr>
            <w:tcW w:type="dxa" w:w="4104"/>
            <w:vAlign w:val="center"/>
            <w:tcMar>
              <w:top w:w="85" w:type="dxa"/>
              <w:bottom w:w="85" w:type="dxa"/>
              <w:left w:w="105" w:type="dxa"/>
              <w:right w:w="105" w:type="dxa"/>
            </w:tcMar>
            <w:shd w:fill="203F57"/>
          </w:tcPr>
          <w:p>
            <w:pPr>
              <w:keepNext w:val="0"/>
              <w:spacing w:after="0" w:line="278" w:lineRule="auto"/>
            </w:pPr>
            <w:r>
              <w:rPr>
                <w:rFonts w:ascii="Noto Sans CJK KR" w:hAnsi="Noto Sans CJK KR" w:eastAsia="Noto Sans CJK KR" w:cs="Noto Sans CJK KR"/>
                <w:b/>
                <w:color w:val="FFFFFF"/>
                <w:sz w:val="20"/>
              </w:rPr>
              <w:t>대표 시나리오</w:t>
            </w:r>
          </w:p>
        </w:tc>
        <w:tc>
          <w:tcPr>
            <w:tcW w:type="dxa" w:w="4262"/>
            <w:vAlign w:val="center"/>
            <w:tcMar>
              <w:top w:w="85" w:type="dxa"/>
              <w:bottom w:w="85" w:type="dxa"/>
              <w:left w:w="105" w:type="dxa"/>
              <w:right w:w="105" w:type="dxa"/>
            </w:tcMar>
            <w:shd w:fill="203F57"/>
          </w:tcPr>
          <w:p>
            <w:pPr>
              <w:keepNext w:val="0"/>
              <w:spacing w:after="0" w:line="278" w:lineRule="auto"/>
            </w:pPr>
            <w:r>
              <w:rPr>
                <w:rFonts w:ascii="Noto Sans CJK KR" w:hAnsi="Noto Sans CJK KR" w:eastAsia="Noto Sans CJK KR" w:cs="Noto Sans CJK KR"/>
                <w:b/>
                <w:color w:val="FFFFFF"/>
                <w:sz w:val="20"/>
              </w:rPr>
              <w:t>수용 기준의 예</w:t>
            </w:r>
          </w:p>
        </w:tc>
      </w:tr>
      <w:tr>
        <w:trPr>
          <w:cantSplit/>
        </w:trPr>
        <w:tc>
          <w:tcPr>
            <w:tcW w:type="dxa" w:w="1656"/>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자재 검색</w:t>
            </w:r>
          </w:p>
        </w:tc>
        <w:tc>
          <w:tcPr>
            <w:tcW w:type="dxa" w:w="4104"/>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자연어로 자재·제조사·규격과 중복 후보 조회</w:t>
            </w:r>
          </w:p>
        </w:tc>
        <w:tc>
          <w:tcPr>
            <w:tcW w:type="dxa" w:w="4262"/>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권한 자료만 검색하고 후보 근거와 원문 연결</w:t>
            </w:r>
          </w:p>
        </w:tc>
      </w:tr>
      <w:tr>
        <w:trPr>
          <w:cantSplit/>
        </w:trPr>
        <w:tc>
          <w:tcPr>
            <w:tcW w:type="dxa" w:w="1656"/>
            <w:vAlign w:val="center"/>
            <w:tcMar>
              <w:top w:w="85" w:type="dxa"/>
              <w:bottom w:w="85" w:type="dxa"/>
              <w:left w:w="105" w:type="dxa"/>
              <w:right w:w="105" w:type="dxa"/>
            </w:tcMar>
            <w:shd w:fill="F1F5F8"/>
          </w:tcPr>
          <w:p>
            <w:pPr>
              <w:keepNext w:val="0"/>
              <w:spacing w:after="0" w:line="278" w:lineRule="auto"/>
              <w:jc w:val="center"/>
            </w:pPr>
            <w:r>
              <w:rPr>
                <w:rFonts w:ascii="Noto Sans CJK KR" w:hAnsi="Noto Sans CJK KR" w:eastAsia="Noto Sans CJK KR" w:cs="Noto Sans CJK KR"/>
                <w:b w:val="0"/>
                <w:color w:val="000000"/>
                <w:sz w:val="20"/>
              </w:rPr>
              <w:t>ETL 장애 분석</w:t>
            </w:r>
          </w:p>
        </w:tc>
        <w:tc>
          <w:tcPr>
            <w:tcW w:type="dxa" w:w="4104"/>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실패 이벤트와 실행 로그를 조회해 조치안 제시</w:t>
            </w:r>
          </w:p>
        </w:tc>
        <w:tc>
          <w:tcPr>
            <w:tcW w:type="dxa" w:w="4262"/>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실제 실행 건과 원인 근거를 연결</w:t>
            </w:r>
          </w:p>
        </w:tc>
      </w:tr>
      <w:tr>
        <w:trPr>
          <w:cantSplit/>
        </w:trPr>
        <w:tc>
          <w:tcPr>
            <w:tcW w:type="dxa" w:w="1656"/>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승인 후 재전송</w:t>
            </w:r>
          </w:p>
        </w:tc>
        <w:tc>
          <w:tcPr>
            <w:tcW w:type="dxa" w:w="4104"/>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승인된 실패 건을 기존 API로 재전송</w:t>
            </w:r>
          </w:p>
        </w:tc>
        <w:tc>
          <w:tcPr>
            <w:tcW w:type="dxa" w:w="4262"/>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최신 상태 확인, 중복 방지, 수신결과 대사</w:t>
            </w:r>
          </w:p>
        </w:tc>
      </w:tr>
    </w:tbl>
    <w:p>
      <w:pPr>
        <w:spacing w:after="0" w:before="0" w:line="80" w:lineRule="exact"/>
      </w:pPr>
      <w:r>
        <w:rPr>
          <w:rFonts w:ascii="Noto Sans CJK KR" w:hAnsi="Noto Sans CJK KR" w:eastAsia="Noto Sans CJK KR" w:cs="Noto Sans CJK KR"/>
          <w:color w:val="000000"/>
          <w:sz w:val="6"/>
        </w:rPr>
      </w:r>
    </w:p>
    <w:p>
      <w:r>
        <w:rPr>
          <w:rFonts w:ascii="Noto Sans CJK KR" w:hAnsi="Noto Sans CJK KR" w:eastAsia="Noto Sans CJK KR" w:cs="Noto Sans CJK KR"/>
          <w:color w:val="000000"/>
        </w:rPr>
        <w:t>ETL의 검증 흐름은 장애 감지, 로그·상태 조회, 조치안 생성, 정책에 따른 승인, 기존 API 실행, 상대 시스템 수신결과 확인 순서로 구성한다. 결과가 불명확한 경우 운영자가 처리 상태를 확인하고 재개할 수 있어야 한다.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44"/>
        <w:gridCol w:w="8078"/>
      </w:tblGrid>
      <w:tr>
        <w:trPr>
          <w:cantSplit/>
          <w:tblHeader/>
        </w:trPr>
        <w:tc>
          <w:tcPr>
            <w:tcW w:type="dxa" w:w="1944"/>
            <w:vAlign w:val="center"/>
            <w:tcMar>
              <w:top w:w="85" w:type="dxa"/>
              <w:bottom w:w="85" w:type="dxa"/>
              <w:left w:w="105" w:type="dxa"/>
              <w:right w:w="105" w:type="dxa"/>
            </w:tcMar>
            <w:shd w:fill="203F57"/>
          </w:tcPr>
          <w:p>
            <w:pPr>
              <w:keepNext w:val="0"/>
              <w:spacing w:after="0" w:line="278" w:lineRule="auto"/>
              <w:jc w:val="center"/>
            </w:pPr>
            <w:r>
              <w:rPr>
                <w:rFonts w:ascii="Noto Sans CJK KR" w:hAnsi="Noto Sans CJK KR" w:eastAsia="Noto Sans CJK KR" w:cs="Noto Sans CJK KR"/>
                <w:b/>
                <w:color w:val="FFFFFF"/>
                <w:sz w:val="20"/>
              </w:rPr>
              <w:t>측정 항목</w:t>
            </w:r>
          </w:p>
        </w:tc>
        <w:tc>
          <w:tcPr>
            <w:tcW w:type="dxa" w:w="8078"/>
            <w:vAlign w:val="center"/>
            <w:tcMar>
              <w:top w:w="85" w:type="dxa"/>
              <w:bottom w:w="85" w:type="dxa"/>
              <w:left w:w="105" w:type="dxa"/>
              <w:right w:w="105" w:type="dxa"/>
            </w:tcMar>
            <w:shd w:fill="203F57"/>
          </w:tcPr>
          <w:p>
            <w:pPr>
              <w:keepNext w:val="0"/>
              <w:spacing w:after="0" w:line="278" w:lineRule="auto"/>
            </w:pPr>
            <w:r>
              <w:rPr>
                <w:rFonts w:ascii="Noto Sans CJK KR" w:hAnsi="Noto Sans CJK KR" w:eastAsia="Noto Sans CJK KR" w:cs="Noto Sans CJK KR"/>
                <w:b/>
                <w:color w:val="FFFFFF"/>
                <w:sz w:val="20"/>
              </w:rPr>
              <w:t>측정 방법</w:t>
            </w:r>
          </w:p>
        </w:tc>
      </w:tr>
      <w:tr>
        <w:trPr>
          <w:cantSplit/>
        </w:trPr>
        <w:tc>
          <w:tcPr>
            <w:tcW w:type="dxa" w:w="1944"/>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업무 성공률</w:t>
            </w:r>
          </w:p>
        </w:tc>
        <w:tc>
          <w:tcPr>
            <w:tcW w:type="dxa" w:w="8078"/>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성공한 업무 건수 ÷ 유효한 평가 건수</w:t>
            </w:r>
          </w:p>
        </w:tc>
      </w:tr>
      <w:tr>
        <w:trPr>
          <w:cantSplit/>
        </w:trPr>
        <w:tc>
          <w:tcPr>
            <w:tcW w:type="dxa" w:w="1944"/>
            <w:vAlign w:val="center"/>
            <w:tcMar>
              <w:top w:w="85" w:type="dxa"/>
              <w:bottom w:w="85" w:type="dxa"/>
              <w:left w:w="105" w:type="dxa"/>
              <w:right w:w="105" w:type="dxa"/>
            </w:tcMar>
            <w:shd w:fill="F1F5F8"/>
          </w:tcPr>
          <w:p>
            <w:pPr>
              <w:keepNext w:val="0"/>
              <w:spacing w:after="0" w:line="278" w:lineRule="auto"/>
              <w:jc w:val="center"/>
            </w:pPr>
            <w:r>
              <w:rPr>
                <w:rFonts w:ascii="Noto Sans CJK KR" w:hAnsi="Noto Sans CJK KR" w:eastAsia="Noto Sans CJK KR" w:cs="Noto Sans CJK KR"/>
                <w:b w:val="0"/>
                <w:color w:val="000000"/>
                <w:sz w:val="20"/>
              </w:rPr>
              <w:t>근거와 검색 품질</w:t>
            </w:r>
          </w:p>
        </w:tc>
        <w:tc>
          <w:tcPr>
            <w:tcW w:type="dxa" w:w="8078"/>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정답 자료의 포함 여부, 출처 일치와 권한 범위 확인</w:t>
            </w:r>
          </w:p>
        </w:tc>
      </w:tr>
      <w:tr>
        <w:trPr>
          <w:cantSplit/>
        </w:trPr>
        <w:tc>
          <w:tcPr>
            <w:tcW w:type="dxa" w:w="1944"/>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실행의 정확성</w:t>
            </w:r>
          </w:p>
        </w:tc>
        <w:tc>
          <w:tcPr>
            <w:tcW w:type="dxa" w:w="8078"/>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잘못된 대상, 미승인 실행, 중복 변경 사례 집계</w:t>
            </w:r>
          </w:p>
        </w:tc>
      </w:tr>
      <w:tr>
        <w:trPr>
          <w:cantSplit/>
        </w:trPr>
        <w:tc>
          <w:tcPr>
            <w:tcW w:type="dxa" w:w="1944"/>
            <w:vAlign w:val="center"/>
            <w:tcMar>
              <w:top w:w="85" w:type="dxa"/>
              <w:bottom w:w="85" w:type="dxa"/>
              <w:left w:w="105" w:type="dxa"/>
              <w:right w:w="105" w:type="dxa"/>
            </w:tcMar>
            <w:shd w:fill="F1F5F8"/>
          </w:tcPr>
          <w:p>
            <w:pPr>
              <w:keepNext w:val="0"/>
              <w:spacing w:after="0" w:line="278" w:lineRule="auto"/>
              <w:jc w:val="center"/>
            </w:pPr>
            <w:r>
              <w:rPr>
                <w:rFonts w:ascii="Noto Sans CJK KR" w:hAnsi="Noto Sans CJK KR" w:eastAsia="Noto Sans CJK KR" w:cs="Noto Sans CJK KR"/>
                <w:b w:val="0"/>
                <w:color w:val="000000"/>
                <w:sz w:val="20"/>
              </w:rPr>
              <w:t>시간과 비용</w:t>
            </w:r>
          </w:p>
        </w:tc>
        <w:tc>
          <w:tcPr>
            <w:tcW w:type="dxa" w:w="8078"/>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같은 업무의 처리시간, 사람 검토시간, 모델·운영비 비교</w:t>
            </w:r>
          </w:p>
        </w:tc>
      </w:tr>
      <w:tr>
        <w:trPr>
          <w:cantSplit/>
        </w:trPr>
        <w:tc>
          <w:tcPr>
            <w:tcW w:type="dxa" w:w="1944"/>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복구 가능성</w:t>
            </w:r>
          </w:p>
        </w:tc>
        <w:tc>
          <w:tcPr>
            <w:tcW w:type="dxa" w:w="8078"/>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중단 후 재개, 이전 버전 전환, DB 복원 훈련 결과</w:t>
            </w:r>
          </w:p>
        </w:tc>
      </w:tr>
    </w:tbl>
    <w:p>
      <w:pPr>
        <w:spacing w:after="0" w:before="0" w:line="80" w:lineRule="exact"/>
      </w:pPr>
      <w:r>
        <w:rPr>
          <w:rFonts w:ascii="Noto Sans CJK KR" w:hAnsi="Noto Sans CJK KR" w:eastAsia="Noto Sans CJK KR" w:cs="Noto Sans CJK KR"/>
          <w:color w:val="000000"/>
          <w:sz w:val="6"/>
        </w:rPr>
      </w:r>
    </w:p>
    <w:p>
      <w:r>
        <w:rPr>
          <w:rFonts w:ascii="Noto Sans CJK KR" w:hAnsi="Noto Sans CJK KR" w:eastAsia="Noto Sans CJK KR" w:cs="Noto Sans CJK KR"/>
          <w:color w:val="000000"/>
        </w:rPr>
        <w:t>평가에는 정상 질문뿐 아니라 모호한 질문, 데이터 없음, 권한 없음, 악성 문서, 시간초과와 중복 요청을 포함한다. 권한 위반과 미승인 변경은 필수 시험에서 0건을 요구하고, 품질·응답시간·비용 목표는 대표 평가집합으로 합의한다. 도입 효과는 표본 수와 측정 기간을 함께 공개한다.</w:t>
      </w:r>
    </w:p>
    <w:p>
      <w:pPr>
        <w:pStyle w:val="Heading1"/>
        <w:pageBreakBefore/>
        <w:spacing w:before="0"/>
      </w:pPr>
      <w:r>
        <w:rPr>
          <w:rFonts w:ascii="Noto Sans CJK KR" w:hAnsi="Noto Sans CJK KR" w:eastAsia="Noto Sans CJK KR" w:cs="Noto Sans CJK KR"/>
          <w:color w:val="000000"/>
        </w:rPr>
        <w:t>12 참고자료와 문서 활용</w:t>
      </w:r>
    </w:p>
    <w:p>
      <w:r>
        <w:rPr>
          <w:rFonts w:ascii="Noto Sans CJK KR" w:hAnsi="Noto Sans CJK KR" w:eastAsia="Noto Sans CJK KR" w:cs="Noto Sans CJK KR"/>
          <w:color w:val="000000"/>
        </w:rPr>
        <w:t>아래 공식 자료는 기능과 설계 원칙의 근거다. HJAIframework의 모듈 구성과 도입 순서는 본 보고서의 설계 제안이며, 공식 제품의 지원 범위는 적용 버전 문서로 다시 확인한다. 자료 확인일은 2026년 10월 20일이다.</w:t>
      </w:r>
    </w:p>
    <w:p>
      <w:pPr>
        <w:spacing w:after="20"/>
      </w:pPr>
      <w:r>
        <w:rPr>
          <w:rFonts w:ascii="Noto Sans CJK KR" w:hAnsi="Noto Sans CJK KR" w:eastAsia="Noto Sans CJK KR" w:cs="Noto Sans CJK KR"/>
          <w:color w:val="000000"/>
          <w:sz w:val="20"/>
        </w:rPr>
        <w:t>[R1] Spring AI 공식 프로젝트</w:t>
      </w:r>
    </w:p>
    <w:p>
      <w:pPr>
        <w:spacing w:after="60"/>
      </w:pPr>
      <w:hyperlink r:id="rId12">
        <w:r>
          <w:rPr>
            <w:color w:val="245574"/>
            <w:sz w:val="18"/>
          </w:rPr>
          <w:t>https://spring.io/projects/spring-ai/</w:t>
        </w:r>
      </w:hyperlink>
    </w:p>
    <w:p>
      <w:pPr>
        <w:spacing w:after="140"/>
      </w:pPr>
      <w:r>
        <w:rPr>
          <w:rFonts w:ascii="Noto Sans CJK KR" w:hAnsi="Noto Sans CJK KR" w:eastAsia="Noto Sans CJK KR" w:cs="Noto Sans CJK KR"/>
          <w:color w:val="000000"/>
          <w:sz w:val="19"/>
        </w:rPr>
        <w:t>기업 데이터와 모델 연결, RAG, Tool 호출과 관측 기능. 버전 호환성은 공식 Getting Started와 저장소에서 확인한다.</w:t>
      </w:r>
    </w:p>
    <w:p>
      <w:pPr>
        <w:spacing w:after="20"/>
      </w:pPr>
      <w:r>
        <w:rPr>
          <w:rFonts w:ascii="Noto Sans CJK KR" w:hAnsi="Noto Sans CJK KR" w:eastAsia="Noto Sans CJK KR" w:cs="Noto Sans CJK KR"/>
          <w:color w:val="000000"/>
          <w:sz w:val="20"/>
        </w:rPr>
        <w:t>[R2] SAP Joule 통합과 확장 참조 아키텍처</w:t>
      </w:r>
    </w:p>
    <w:p>
      <w:pPr>
        <w:spacing w:after="60"/>
      </w:pPr>
      <w:hyperlink r:id="rId13">
        <w:r>
          <w:rPr>
            <w:color w:val="245574"/>
            <w:sz w:val="18"/>
          </w:rPr>
          <w:t>https://architecture.learning.sap.com/docs/ref-arch/464deb</w:t>
        </w:r>
      </w:hyperlink>
    </w:p>
    <w:p>
      <w:pPr>
        <w:spacing w:after="140"/>
      </w:pPr>
      <w:r>
        <w:rPr>
          <w:rFonts w:ascii="Noto Sans CJK KR" w:hAnsi="Noto Sans CJK KR" w:eastAsia="Noto Sans CJK KR" w:cs="Noto Sans CJK KR"/>
          <w:color w:val="000000"/>
          <w:sz w:val="19"/>
        </w:rPr>
        <w:t>기존 기업시스템과 Joule의 기능 및 Agent 통합 방향.</w:t>
      </w:r>
    </w:p>
    <w:p>
      <w:pPr>
        <w:spacing w:after="20"/>
      </w:pPr>
      <w:r>
        <w:rPr>
          <w:rFonts w:ascii="Noto Sans CJK KR" w:hAnsi="Noto Sans CJK KR" w:eastAsia="Noto Sans CJK KR" w:cs="Noto Sans CJK KR"/>
          <w:color w:val="000000"/>
          <w:sz w:val="20"/>
        </w:rPr>
        <w:t>[R3] NIST AI Agent Standards Initiative</w:t>
      </w:r>
    </w:p>
    <w:p>
      <w:pPr>
        <w:spacing w:after="60"/>
      </w:pPr>
      <w:hyperlink r:id="rId14">
        <w:r>
          <w:rPr>
            <w:color w:val="245574"/>
            <w:sz w:val="18"/>
          </w:rPr>
          <w:t>https://www.nist.gov/artificial-intelligence/ai-agent-standards-initiative</w:t>
        </w:r>
      </w:hyperlink>
    </w:p>
    <w:p>
      <w:pPr>
        <w:spacing w:after="140"/>
      </w:pPr>
      <w:r>
        <w:rPr>
          <w:rFonts w:ascii="Noto Sans CJK KR" w:hAnsi="Noto Sans CJK KR" w:eastAsia="Noto Sans CJK KR" w:cs="Noto Sans CJK KR"/>
          <w:color w:val="000000"/>
          <w:sz w:val="19"/>
        </w:rPr>
        <w:t>Agent 표준화, 상호운용성, 인증과 신원 연구.</w:t>
      </w:r>
    </w:p>
    <w:p>
      <w:pPr>
        <w:spacing w:after="20"/>
      </w:pPr>
      <w:r>
        <w:rPr>
          <w:rFonts w:ascii="Noto Sans CJK KR" w:hAnsi="Noto Sans CJK KR" w:eastAsia="Noto Sans CJK KR" w:cs="Noto Sans CJK KR"/>
          <w:color w:val="000000"/>
          <w:sz w:val="20"/>
        </w:rPr>
        <w:t>[R4] Model Context Protocol 인가 명세</w:t>
      </w:r>
    </w:p>
    <w:p>
      <w:pPr>
        <w:spacing w:after="60"/>
      </w:pPr>
      <w:hyperlink r:id="rId15">
        <w:r>
          <w:rPr>
            <w:color w:val="245574"/>
            <w:sz w:val="18"/>
          </w:rPr>
          <w:t>https://modelcontextprotocol.io/specification/2025-11-25/basic/authorization</w:t>
        </w:r>
      </w:hyperlink>
    </w:p>
    <w:p>
      <w:pPr>
        <w:spacing w:after="140"/>
      </w:pPr>
      <w:r>
        <w:rPr>
          <w:rFonts w:ascii="Noto Sans CJK KR" w:hAnsi="Noto Sans CJK KR" w:eastAsia="Noto Sans CJK KR" w:cs="Noto Sans CJK KR"/>
          <w:color w:val="000000"/>
          <w:sz w:val="19"/>
        </w:rPr>
        <w:t>HTTP 전송에서의 MCP 인가 흐름과 자원 접근 기준. 업무별 권한과 승인은 별도 설계한다.</w:t>
      </w:r>
    </w:p>
    <w:p>
      <w:pPr>
        <w:spacing w:after="20"/>
      </w:pPr>
      <w:r>
        <w:rPr>
          <w:rFonts w:ascii="Noto Sans CJK KR" w:hAnsi="Noto Sans CJK KR" w:eastAsia="Noto Sans CJK KR" w:cs="Noto Sans CJK KR"/>
          <w:color w:val="000000"/>
          <w:sz w:val="20"/>
        </w:rPr>
        <w:t>[R5] Spring AI Observability</w:t>
      </w:r>
    </w:p>
    <w:p>
      <w:pPr>
        <w:spacing w:after="60"/>
      </w:pPr>
      <w:hyperlink r:id="rId16">
        <w:r>
          <w:rPr>
            <w:color w:val="245574"/>
            <w:sz w:val="18"/>
          </w:rPr>
          <w:t>https://docs.spring.io/spring-ai/reference/observability/index.html</w:t>
        </w:r>
      </w:hyperlink>
    </w:p>
    <w:p>
      <w:pPr>
        <w:spacing w:after="140"/>
      </w:pPr>
      <w:r>
        <w:rPr>
          <w:rFonts w:ascii="Noto Sans CJK KR" w:hAnsi="Noto Sans CJK KR" w:eastAsia="Noto Sans CJK KR" w:cs="Noto Sans CJK KR"/>
          <w:color w:val="000000"/>
          <w:sz w:val="19"/>
        </w:rPr>
        <w:t>AI 호출 관측과 Prompt 및 응답 로깅 설정.</w:t>
      </w:r>
    </w:p>
    <w:p>
      <w:r>
        <w:rPr>
          <w:rFonts w:ascii="Noto Sans CJK KR" w:hAnsi="Noto Sans CJK KR" w:eastAsia="Noto Sans CJK KR" w:cs="Noto Sans CJK KR"/>
          <w:color w:val="000000"/>
        </w:rPr>
        <w:t>연계 문서인 「HJ 개발운영인프라 개발자환경 구축절차서」는 본 구조를 개발과 운영에 적용하는 순서, 명령 예제와 검증 항목을 제시한다. 문서 개정 시 두 문서의 모듈명과 설정 규약을 함께 검토한다.</w:t>
      </w:r>
    </w:p>
    <w:sectPr w:rsidR="00FC693F" w:rsidRPr="0006063C" w:rsidSect="00034616">
      <w:headerReference w:type="default" r:id="rId9"/>
      <w:footerReference w:type="default" r:id="rId10"/>
      <w:pgSz w:w="12240" w:h="15840"/>
      <w:pgMar w:top="979" w:right="1109" w:bottom="979" w:left="1109" w:header="36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KR" w:hAnsi="Noto Sans CJK KR" w:eastAsia="Noto Sans CJK KR" w:cs="Noto Sans CJK KR"/>
        <w:color w:val="000000"/>
        <w:sz w:val="18"/>
      </w:rPr>
      <w:t xml:space="preserve">HJ  ·  </w:t>
    </w:r>
    <w:r>
      <w:rPr>
        <w:rFonts w:ascii="Noto Sans CJK KR" w:hAnsi="Noto Sans CJK KR" w:eastAsia="Noto Sans CJK KR" w:cs="Noto Sans CJK KR"/>
        <w:color w:val="000000"/>
        <w:sz w:val="18"/>
      </w:rPr>
    </w:r>
    <w:fldSimple w:instr="PAGE">
      <w:r>
        <w:t>1</w:t>
      </w:r>
    </w:fldSimple>
    <w:r>
      <w:rPr>
        <w:rFonts w:ascii="Noto Sans CJK KR" w:hAnsi="Noto Sans CJK KR" w:eastAsia="Noto Sans CJK KR" w:cs="Noto Sans CJK KR"/>
        <w:color w:val="000000"/>
        <w:sz w:val="18"/>
      </w:rPr>
      <w:t xml:space="preserve"> / </w:t>
    </w:r>
    <w:r>
      <w:rPr>
        <w:rFonts w:ascii="Noto Sans CJK KR" w:hAnsi="Noto Sans CJK KR" w:eastAsia="Noto Sans CJK KR" w:cs="Noto Sans CJK KR"/>
        <w:color w:val="000000"/>
        <w:sz w:val="18"/>
      </w:rPr>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oto Sans CJK KR" w:hAnsi="Noto Sans CJK KR" w:eastAsia="Noto Sans CJK KR" w:cs="Noto Sans CJK KR"/>
        <w:color w:val="000000"/>
        <w:sz w:val="17"/>
      </w:rPr>
      <w:t>HJAIframework   AI 플랫폼 전환방향</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40" w:lineRule="exact" w:after="140"/>
    </w:pPr>
    <w:rPr>
      <w:rFonts w:ascii="Noto Sans CJK KR" w:hAnsi="Noto Sans CJK KR" w:eastAsia="Noto Sans CJK KR" w:cs="Noto Sans CJK KR"/>
      <w:color w:val="000000"/>
      <w:sz w:val="22"/>
      <w:lang w:val="ko-KR" w:eastAsia="ko-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line="500" w:lineRule="exact"/>
      <w:outlineLvl w:val="0"/>
    </w:pPr>
    <w:rPr>
      <w:rFonts w:asciiTheme="majorHAnsi" w:eastAsiaTheme="majorEastAsia" w:hAnsiTheme="majorHAnsi" w:cstheme="majorBidi" w:ascii="Noto Sans CJK KR" w:hAnsi="Noto Sans CJK KR" w:eastAsia="Noto Sans CJK KR" w:cs="Noto Sans CJK KR"/>
      <w:b/>
      <w:bCs/>
      <w:i w:val="0"/>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60" w:line="380" w:lineRule="exact"/>
      <w:outlineLvl w:val="1"/>
    </w:pPr>
    <w:rPr>
      <w:rFonts w:asciiTheme="majorHAnsi" w:eastAsiaTheme="majorEastAsia" w:hAnsiTheme="majorHAnsi" w:cstheme="majorBidi" w:ascii="Noto Sans CJK KR" w:hAnsi="Noto Sans CJK KR" w:eastAsia="Noto Sans CJK KR" w:cs="Noto Sans CJK KR"/>
      <w:b/>
      <w:bCs/>
      <w:i w:val="0"/>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160" w:line="360" w:lineRule="exact"/>
      <w:outlineLvl w:val="2"/>
    </w:pPr>
    <w:rPr>
      <w:rFonts w:asciiTheme="majorHAnsi" w:eastAsiaTheme="majorEastAsia" w:hAnsiTheme="majorHAnsi" w:cstheme="majorBidi" w:ascii="Noto Sans CJK KR" w:hAnsi="Noto Sans CJK KR" w:eastAsia="Noto Sans CJK KR" w:cs="Noto Sans CJK KR"/>
      <w:b/>
      <w:bCs/>
      <w:i w:val="0"/>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760" w:lineRule="exact" w:before="0"/>
      <w:contextualSpacing/>
    </w:pPr>
    <w:rPr>
      <w:rFonts w:asciiTheme="majorHAnsi" w:eastAsiaTheme="majorEastAsia" w:hAnsiTheme="majorHAnsi" w:cstheme="majorBidi" w:ascii="Noto Sans CJK KR" w:hAnsi="Noto Sans CJK KR" w:eastAsia="Noto Sans CJK KR" w:cs="Noto Sans CJK KR"/>
      <w:b w:val="0"/>
      <w:i w:val="0"/>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400" w:lineRule="exact" w:after="160" w:before="0"/>
    </w:pPr>
    <w:rPr>
      <w:rFonts w:asciiTheme="majorHAnsi" w:eastAsiaTheme="majorEastAsia" w:hAnsiTheme="majorHAnsi" w:cstheme="majorBidi" w:ascii="Noto Sans CJK KR" w:hAnsi="Noto Sans CJK KR" w:eastAsia="Noto Sans CJK KR" w:cs="Noto Sans CJK KR"/>
      <w:b w:val="0"/>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340" w:lineRule="exact"/>
      <w:contextualSpacing/>
    </w:pPr>
    <w:rPr>
      <w:rFonts w:ascii="Noto Sans CJK KR" w:hAnsi="Noto Sans CJK KR" w:eastAsia="Noto Sans CJK KR" w:cs="Noto Sans CJK KR"/>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340" w:lineRule="exact"/>
      <w:contextualSpacing/>
    </w:pPr>
    <w:rPr>
      <w:rFonts w:ascii="Noto Sans CJK KR" w:hAnsi="Noto Sans CJK KR" w:eastAsia="Noto Sans CJK KR" w:cs="Noto Sans CJK KR"/>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0" w:lineRule="exact" w:after="160" w:before="0"/>
    </w:pPr>
    <w:rPr>
      <w:rFonts w:ascii="Noto Sans CJK KR" w:hAnsi="Noto Sans CJK KR" w:eastAsia="Noto Sans CJK KR" w:cs="Noto Sans CJK KR"/>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spring.io/projects/spring-ai/" TargetMode="External"/><Relationship Id="rId13" Type="http://schemas.openxmlformats.org/officeDocument/2006/relationships/hyperlink" Target="https://architecture.learning.sap.com/docs/ref-arch/464deb" TargetMode="External"/><Relationship Id="rId14" Type="http://schemas.openxmlformats.org/officeDocument/2006/relationships/hyperlink" Target="https://www.nist.gov/artificial-intelligence/ai-agent-standards-initiative" TargetMode="External"/><Relationship Id="rId15" Type="http://schemas.openxmlformats.org/officeDocument/2006/relationships/hyperlink" Target="https://modelcontextprotocol.io/specification/2025-11-25/basic/authorization" TargetMode="External"/><Relationship Id="rId16" Type="http://schemas.openxmlformats.org/officeDocument/2006/relationships/hyperlink" Target="https://docs.spring.io/spring-ai/reference/observability/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HJ_AI플랫폼_전환방향_보고서</dc:title>
  <dc:subject>HJAIframework 기업 IT 표준 플랫폼</dc:subject>
  <dc:creator>HJ</dc:creator>
  <cp:keywords>HJAIframework, AI, Agent, Spring, 기업 IT, 개발 운영</cp:keywords>
  <dc:description/>
  <cp:lastModifiedBy/>
  <cp:revision>1</cp:revision>
  <dcterms:created xsi:type="dcterms:W3CDTF">2026-10-20T00:00:00Z</dcterms:created>
  <dcterms:modified xsi:type="dcterms:W3CDTF">2026-10-20T05:10:49Z</dcterms:modified>
  <cp:category/>
</cp:coreProperties>
</file>