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left"/>
      </w:pPr>
      <w:r>
        <w:rPr>
          <w:rFonts w:ascii="Malgun Gothic" w:hAnsi="Malgun Gothic" w:eastAsia="Malgun Gothic"/>
          <w:b/>
          <w:color w:val="1F4E79"/>
          <w:sz w:val="48"/>
        </w:rPr>
        <w:t>아우리봇 법률검토 자동화 시스템</w:t>
        <w:br/>
        <w:t>요구사항정의서</w:t>
      </w:r>
    </w:p>
    <w:p>
      <w:r>
        <w:rPr>
          <w:rFonts w:ascii="Malgun Gothic" w:hAnsi="Malgun Gothic" w:eastAsia="Malgun Gothic"/>
          <w:color w:val="5A5A5A"/>
          <w:sz w:val="24"/>
        </w:rPr>
        <w:t>EP 시스템 연계형 계약/법률 검토 지원 플랫폼 - v1.0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9071"/>
      </w:tblGrid>
      <w:tr>
        <w:tc>
          <w:tcPr>
            <w:tcW w:type="dxa" w:w="10200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3C3C3C"/>
                <w:sz w:val="21"/>
              </w:rPr>
              <w:t>작성 목적: 직원의 법률검토신청 접수부터 계약서 자동 수정, 1차 검토, 법무팀 최종보고까지의 목표 기능과 요구사항 정의</w:t>
              <w:br/>
              <w:t>전제: 현행 EP 시스템을 유지하되, 아우리봇을 심사 전단에 결합하는 방식</w:t>
              <w:br/>
              <w:t>핵심 특징: 신청서 보강 질문, 회사 입장 반영, 과거 검토의견/표준양식 재사용, 최종 법무팀 승인</w:t>
            </w:r>
          </w:p>
        </w:tc>
      </w:tr>
    </w:tbl>
    <w:p/>
    <w:p>
      <w:pPr>
        <w:pStyle w:val="Heading1"/>
      </w:pPr>
      <w:r>
        <w:t>1. 문서 개요</w:t>
      </w:r>
    </w:p>
    <w:p>
      <w:pPr>
        <w:ind w:left="283" w:hanging="170"/>
      </w:pPr>
      <w:r>
        <w:rPr>
          <w:rFonts w:ascii="Malgun Gothic" w:hAnsi="Malgun Gothic" w:eastAsia="Malgun Gothic"/>
        </w:rPr>
        <w:t>• 본 문서는 ‘직원이 EP 시스템에 법률검토신청서를 등록하면, 아우리봇이 사전 질의·리스크 식별·계약서 수정·의견서 초안 작성까지 수행하고, 법무팀은 최종 판단과 승인에 집중’하는 체계를 정의한다.</w:t>
      </w:r>
    </w:p>
    <w:p>
      <w:pPr>
        <w:ind w:left="283" w:hanging="170"/>
      </w:pPr>
      <w:r>
        <w:rPr>
          <w:rFonts w:ascii="Malgun Gothic" w:hAnsi="Malgun Gothic" w:eastAsia="Malgun Gothic"/>
        </w:rPr>
        <w:t>• 시스템은 계약 검토를 우선 적용 대상으로 하되, 향후 일반 법률문의, 정책검토, 광고문안 검토 등으로 확장 가능하도록 설계한다.</w:t>
      </w:r>
    </w:p>
    <w:p>
      <w:pPr>
        <w:ind w:left="283" w:hanging="170"/>
      </w:pPr>
      <w:r>
        <w:rPr>
          <w:rFonts w:ascii="Malgun Gothic" w:hAnsi="Malgun Gothic" w:eastAsia="Malgun Gothic"/>
        </w:rPr>
        <w:t>• 최종 법적 책임 판단은 법무팀이 보유하며, 아우리봇은 업무보조·초안생성·검색·정책적합성 점검 역할을 수행한다.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E6D28F"/>
          <w:left w:val="single" w:sz="8" w:space="0" w:color="E6D28F"/>
          <w:bottom w:val="single" w:sz="8" w:space="0" w:color="E6D28F"/>
          <w:right w:val="single" w:sz="8" w:space="0" w:color="E6D28F"/>
          <w:insideH w:val="single" w:sz="8" w:space="0" w:color="E6D28F"/>
          <w:insideV w:val="single" w:sz="8" w:space="0" w:color="E6D28F"/>
        </w:tblBorders>
      </w:tblPr>
      <w:tblGrid>
        <w:gridCol w:w="9071"/>
      </w:tblGrid>
      <w:tr>
        <w:tc>
          <w:tcPr>
            <w:tcW w:type="dxa" w:w="10200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Malgun Gothic" w:hAnsi="Malgun Gothic" w:eastAsia="Malgun Gothic"/>
                <w:b/>
                <w:sz w:val="21"/>
              </w:rPr>
              <w:t>업무 목표</w:t>
              <w:br/>
            </w:r>
            <w:r>
              <w:rPr>
                <w:rFonts w:ascii="Malgun Gothic" w:hAnsi="Malgun Gothic" w:eastAsia="Malgun Gothic"/>
                <w:sz w:val="21"/>
              </w:rPr>
              <w:t>법무팀의 반복 검토시간을 줄이는 동시에, 접수 품질을 높이고, 회사 표준 입장과 과거 검토자산을 재활용해 일관된 1차 검토 품질을 확보한다.</w:t>
            </w:r>
          </w:p>
        </w:tc>
      </w:tr>
    </w:tbl>
    <w:p/>
    <w:p>
      <w:pPr>
        <w:pStyle w:val="Heading1"/>
      </w:pPr>
      <w:r>
        <w:t>2. 현행 업무와 문제점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1247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구분</w:t>
            </w:r>
          </w:p>
        </w:tc>
        <w:tc>
          <w:tcPr>
            <w:tcW w:type="dxa" w:w="2381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현행 방식</w:t>
            </w:r>
          </w:p>
        </w:tc>
        <w:tc>
          <w:tcPr>
            <w:tcW w:type="dxa" w:w="2381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문제점</w:t>
            </w:r>
          </w:p>
        </w:tc>
        <w:tc>
          <w:tcPr>
            <w:tcW w:type="dxa" w:w="2381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개선 방향</w:t>
            </w:r>
          </w:p>
        </w:tc>
      </w:tr>
      <w:tr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접수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직원이 신청서/계약서 업로드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필수정보 누락, 맥락 부족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봇이 추가질문으로 보완</w:t>
            </w:r>
          </w:p>
        </w:tc>
      </w:tr>
      <w:tr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검토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법무팀 담당자가 수기 검토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유사건 재사용 어려움, 편차 발생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과거 의견/표준문구 자동추천</w:t>
            </w:r>
          </w:p>
        </w:tc>
      </w:tr>
      <w:tr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회신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의견서 송부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수정근거와 회사 입장 설명 부족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근거/대안조항 포함 초안 제공</w:t>
            </w:r>
          </w:p>
        </w:tc>
      </w:tr>
      <w:tr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승인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담당자별 개별 판단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리스크 단계·승인흐름 비정형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리스크 점수와 결재규칙 표준화</w:t>
            </w:r>
          </w:p>
        </w:tc>
      </w:tr>
    </w:tbl>
    <w:p/>
    <w:p>
      <w:pPr>
        <w:pStyle w:val="Heading1"/>
      </w:pPr>
      <w:r>
        <w:t>3. 목표 범위</w:t>
      </w:r>
    </w:p>
    <w:p>
      <w:pPr>
        <w:ind w:left="283" w:hanging="170"/>
      </w:pPr>
      <w:r>
        <w:rPr>
          <w:rFonts w:ascii="Malgun Gothic" w:hAnsi="Malgun Gothic" w:eastAsia="Malgun Gothic"/>
        </w:rPr>
        <w:t>• 직원용 신청 인터페이스: 기본 신청서 + 아우리봇 대화형 추가질문</w:t>
      </w:r>
    </w:p>
    <w:p>
      <w:pPr>
        <w:ind w:left="283" w:hanging="170"/>
      </w:pPr>
      <w:r>
        <w:rPr>
          <w:rFonts w:ascii="Malgun Gothic" w:hAnsi="Malgun Gothic" w:eastAsia="Malgun Gothic"/>
        </w:rPr>
        <w:t>• 검토엔진: 계약 유형 분류, 조항 분석, 회사 정책/기준 적합성 판단, 수정문안 생성</w:t>
      </w:r>
    </w:p>
    <w:p>
      <w:pPr>
        <w:ind w:left="283" w:hanging="170"/>
      </w:pPr>
      <w:r>
        <w:rPr>
          <w:rFonts w:ascii="Malgun Gothic" w:hAnsi="Malgun Gothic" w:eastAsia="Malgun Gothic"/>
        </w:rPr>
        <w:t>• 지식엔진: 과거 법무 검토의견, 표준계약서, 권고문구, 금지문구, 협상가이드 검색</w:t>
      </w:r>
    </w:p>
    <w:p>
      <w:pPr>
        <w:ind w:left="283" w:hanging="170"/>
      </w:pPr>
      <w:r>
        <w:rPr>
          <w:rFonts w:ascii="Malgun Gothic" w:hAnsi="Malgun Gothic" w:eastAsia="Malgun Gothic"/>
        </w:rPr>
        <w:t>• 산출물: 수정계약서(버전 비교 포함), 1차 검토의견서, 리스크 요약, 최종 법무보고서</w:t>
      </w:r>
    </w:p>
    <w:p>
      <w:pPr>
        <w:ind w:left="283" w:hanging="170"/>
      </w:pPr>
      <w:r>
        <w:rPr>
          <w:rFonts w:ascii="Malgun Gothic" w:hAnsi="Malgun Gothic" w:eastAsia="Malgun Gothic"/>
        </w:rPr>
        <w:t>• 관리기능: 피드백 학습, 승인 이력, 감사로그, 검색/재사용 통계</w:t>
      </w:r>
    </w:p>
    <w:p>
      <w:pPr>
        <w:pStyle w:val="Heading1"/>
      </w:pPr>
      <w:r>
        <w:t>4. 사용자와 역할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</w:tblPr>
      <w:tblGrid>
        <w:gridCol w:w="3400"/>
        <w:gridCol w:w="3400"/>
        <w:gridCol w:w="3400"/>
      </w:tblGrid>
      <w:tr>
        <w:tc>
          <w:tcPr>
            <w:tcW w:type="dxa" w:w="1474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역할</w:t>
            </w:r>
          </w:p>
        </w:tc>
        <w:tc>
          <w:tcPr>
            <w:tcW w:type="dxa" w:w="2835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주요 권한</w:t>
            </w:r>
          </w:p>
        </w:tc>
        <w:tc>
          <w:tcPr>
            <w:tcW w:type="dxa" w:w="4535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주요 책임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신청자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검토 요청 생성, 자료 업로드, 추가질문 응답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사실관계 정확성 확보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현업 관리자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필요시 요청 승인/보완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업무 목적과 사업 리스크 확인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아우리봇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질의, 분석, 초안 작성, 문안 추천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보조적 1차 검토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법무팀 검토자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초안 검토, 수정, 승인/반려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최종 법적 판단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법무 관리자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정책 관리, 승인규칙, 템플릿 관리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운영 기준 유지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시스템 관리자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권한/연계/로그 관리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보안/가용성 운영</w:t>
            </w:r>
          </w:p>
        </w:tc>
      </w:tr>
    </w:tbl>
    <w:p/>
    <w:p>
      <w:pPr>
        <w:pStyle w:val="Heading1"/>
      </w:pPr>
      <w:r>
        <w:t>5. 핵심 업무 시나리오</w:t>
      </w:r>
    </w:p>
    <w:p>
      <w:pPr>
        <w:ind w:left="227" w:hanging="227"/>
      </w:pPr>
      <w:r>
        <w:rPr>
          <w:rFonts w:ascii="Malgun Gothic" w:hAnsi="Malgun Gothic" w:eastAsia="Malgun Gothic"/>
        </w:rPr>
        <w:t>1. 직원이 EP 시스템에서 법률검토신청서를 작성하고 계약서, 제안서, 이메일 등 관련 자료를 업로드한다.</w:t>
      </w:r>
    </w:p>
    <w:p>
      <w:pPr>
        <w:ind w:left="227" w:hanging="227"/>
      </w:pPr>
      <w:r>
        <w:rPr>
          <w:rFonts w:ascii="Malgun Gothic" w:hAnsi="Malgun Gothic" w:eastAsia="Malgun Gothic"/>
        </w:rPr>
        <w:t>2. 아우리봇이 계약 유형, 거래 목적, 금액/기간, 상대방, 납기, 개인정보·지재권·안전·하자·손해배상 등 핵심 이슈를 기준으로 추가질문을 수행한다.</w:t>
      </w:r>
    </w:p>
    <w:p>
      <w:pPr>
        <w:ind w:left="227" w:hanging="227"/>
      </w:pPr>
      <w:r>
        <w:rPr>
          <w:rFonts w:ascii="Malgun Gothic" w:hAnsi="Malgun Gothic" w:eastAsia="Malgun Gothic"/>
        </w:rPr>
        <w:t>3. 봇이 과거 유사 검토건, 표준계약서, 권고 문구를 검색하여 회사에 유리한 기준안과 협상 가능안, 비수용 조항을 도출한다.</w:t>
      </w:r>
    </w:p>
    <w:p>
      <w:pPr>
        <w:ind w:left="227" w:hanging="227"/>
      </w:pPr>
      <w:r>
        <w:rPr>
          <w:rFonts w:ascii="Malgun Gothic" w:hAnsi="Malgun Gothic" w:eastAsia="Malgun Gothic"/>
        </w:rPr>
        <w:t>4. 봇이 계약서 원문을 조항 단위로 분석하여 수정안과 근거를 생성하고, 1차 검토의견서를 작성한다.</w:t>
      </w:r>
    </w:p>
    <w:p>
      <w:pPr>
        <w:ind w:left="227" w:hanging="227"/>
      </w:pPr>
      <w:r>
        <w:rPr>
          <w:rFonts w:ascii="Malgun Gothic" w:hAnsi="Malgun Gothic" w:eastAsia="Malgun Gothic"/>
        </w:rPr>
        <w:t>5. 법무팀은 수정 초안과 추천근거를 검토하여 승인, 수정승인, 반려, 추가질문 중 하나를 선택한다.</w:t>
      </w:r>
    </w:p>
    <w:p>
      <w:pPr>
        <w:ind w:left="227" w:hanging="227"/>
      </w:pPr>
      <w:r>
        <w:rPr>
          <w:rFonts w:ascii="Malgun Gothic" w:hAnsi="Malgun Gothic" w:eastAsia="Malgun Gothic"/>
        </w:rPr>
        <w:t>6. 승인 완료 시 최종 의견서와 수정계약서가 신청자에게 회신되고, 검토자산은 검색 가능한 지식으로 적재된다.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E6D28F"/>
          <w:left w:val="single" w:sz="8" w:space="0" w:color="E6D28F"/>
          <w:bottom w:val="single" w:sz="8" w:space="0" w:color="E6D28F"/>
          <w:right w:val="single" w:sz="8" w:space="0" w:color="E6D28F"/>
          <w:insideH w:val="single" w:sz="8" w:space="0" w:color="E6D28F"/>
          <w:insideV w:val="single" w:sz="8" w:space="0" w:color="E6D28F"/>
        </w:tblBorders>
      </w:tblPr>
      <w:tblGrid>
        <w:gridCol w:w="9071"/>
      </w:tblGrid>
      <w:tr>
        <w:tc>
          <w:tcPr>
            <w:tcW w:type="dxa" w:w="10200"/>
            <w:shd w:fill="FCE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Malgun Gothic" w:hAnsi="Malgun Gothic" w:eastAsia="Malgun Gothic"/>
                <w:b/>
                <w:sz w:val="21"/>
              </w:rPr>
              <w:t>반드시 포함해야 할 기능</w:t>
              <w:br/>
            </w:r>
            <w:r>
              <w:rPr>
                <w:rFonts w:ascii="Malgun Gothic" w:hAnsi="Malgun Gothic" w:eastAsia="Malgun Gothic"/>
                <w:sz w:val="21"/>
              </w:rPr>
              <w:t>과거 검토내용 검색, 표준양식/대체양식 추천, 회사 입장별 협상 강도 설정(원칙 고수/협상 가능/예외 승인 필요), 법무팀 최종승인 게이트</w:t>
            </w:r>
          </w:p>
        </w:tc>
      </w:tr>
    </w:tbl>
    <w:p/>
    <w:p>
      <w:pPr>
        <w:pStyle w:val="Heading1"/>
      </w:pPr>
      <w:r>
        <w:t>6. 기능 요구사항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</w:tblPr>
      <w:tblGrid>
        <w:gridCol w:w="3400"/>
        <w:gridCol w:w="3400"/>
        <w:gridCol w:w="3400"/>
      </w:tblGrid>
      <w:tr>
        <w:tc>
          <w:tcPr>
            <w:tcW w:type="dxa" w:w="1134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ID</w:t>
            </w:r>
          </w:p>
        </w:tc>
        <w:tc>
          <w:tcPr>
            <w:tcW w:type="dxa" w:w="1701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기능</w:t>
            </w:r>
          </w:p>
        </w:tc>
        <w:tc>
          <w:tcPr>
            <w:tcW w:type="dxa" w:w="6236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설명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FR-01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신청 접수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EP 시스템에서 요청번호, 신청부서, 계약상대방, 거래목적, 금액/기간, 희망회신일, 첨부파일을 수집한다.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FR-02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대화형 보강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신청 내용이 불완전하면 아우리봇이 동적으로 추가 질문을 생성한다.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FR-03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문서 분류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업로드 문서를 NDA, 구매, 용역, 라이선스, 제휴, 임대차 등 유형별로 분류한다.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FR-04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조항 추출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계약서 본문에서 핵심 조항(대금, 책임, 해지, IP, 비밀유지, 개인정보 등)을 추출한다.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FR-05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회사 기준 적용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계약 유형별 필수/권장/금지 기준과 협상 허용 범위를 적용한다.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FR-06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과거 검토 검색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기존 법무 검토의견서·수정계약서·표준문구를 유사도/태그 기준으로 검색한다.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FR-07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수정안 생성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조항별 대체문안, redline 초안, 협상 코멘트를 자동 생성한다.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FR-08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의견서 초안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리스크 요약, 쟁점별 검토의견, 요청사항, 예외승인 필요사항을 작성한다.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FR-09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최종 승인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법무팀의 승인 없이는 외부 회신 상태로 전환되지 않는다.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FR-10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지식 축적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최종 확정본과 코멘트를 익명화·태깅 후 검색용 지식베이스로 반영한다.</w:t>
            </w:r>
          </w:p>
        </w:tc>
      </w:tr>
    </w:tbl>
    <w:p/>
    <w:p>
      <w:pPr>
        <w:pStyle w:val="Heading1"/>
      </w:pPr>
      <w:r>
        <w:t>7. 비기능 요구사항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</w:tblPr>
      <w:tblGrid>
        <w:gridCol w:w="5100"/>
        <w:gridCol w:w="5100"/>
      </w:tblGrid>
      <w:tr>
        <w:tc>
          <w:tcPr>
            <w:tcW w:type="dxa" w:w="1701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항목</w:t>
            </w:r>
          </w:p>
        </w:tc>
        <w:tc>
          <w:tcPr>
            <w:tcW w:type="dxa" w:w="7370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요구 수준</w:t>
            </w:r>
          </w:p>
        </w:tc>
      </w:tr>
      <w:tr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보안</w:t>
            </w:r>
          </w:p>
        </w:tc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사내 계정 SSO, 역할기반 접근제어, 문서 암호화 저장, 다운로드 통제</w:t>
            </w:r>
          </w:p>
        </w:tc>
      </w:tr>
      <w:tr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감사추적</w:t>
            </w:r>
          </w:p>
        </w:tc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누가 어떤 문서를 보고/수정/승인했는지 전부 로그화</w:t>
            </w:r>
          </w:p>
        </w:tc>
      </w:tr>
      <w:tr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성능</w:t>
            </w:r>
          </w:p>
        </w:tc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평균 계약서 30페이지 기준 1차 분석 2~5분 이내</w:t>
            </w:r>
          </w:p>
        </w:tc>
      </w:tr>
      <w:tr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가용성</w:t>
            </w:r>
          </w:p>
        </w:tc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업무시간 기준 99.5% 이상</w:t>
            </w:r>
          </w:p>
        </w:tc>
      </w:tr>
      <w:tr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설명가능성</w:t>
            </w:r>
          </w:p>
        </w:tc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추천문안마다 근거(과거사례/정책/표준양식)를 확인 가능해야 함</w:t>
            </w:r>
          </w:p>
        </w:tc>
      </w:tr>
      <w:tr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품질통제</w:t>
            </w:r>
          </w:p>
        </w:tc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환각 방지 룰, 금지조항 하드체크, 낮은 확신도 시 법무검토 강제</w:t>
            </w:r>
          </w:p>
        </w:tc>
      </w:tr>
      <w:tr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확장성</w:t>
            </w:r>
          </w:p>
        </w:tc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계약 유형, 정책, 문안 템플릿을 관리자 화면에서 추가 가능</w:t>
            </w:r>
          </w:p>
        </w:tc>
      </w:tr>
    </w:tbl>
    <w:p/>
    <w:p>
      <w:pPr>
        <w:pStyle w:val="Heading1"/>
      </w:pPr>
      <w:r>
        <w:t>8. 지식베이스 요구사항</w:t>
      </w:r>
    </w:p>
    <w:p>
      <w:pPr>
        <w:ind w:left="283" w:hanging="170"/>
      </w:pPr>
      <w:r>
        <w:rPr>
          <w:rFonts w:ascii="Malgun Gothic" w:hAnsi="Malgun Gothic" w:eastAsia="Malgun Gothic"/>
        </w:rPr>
        <w:t>• 기존 EP 시스템 내 법무 검토이력에서 최소 다음 메타데이터를 추출: 계약유형, 사업부, 상대방 산업군, 쟁점태그, 최종의견, 사용된 수정문구, 승인자, 검토일.</w:t>
      </w:r>
    </w:p>
    <w:p>
      <w:pPr>
        <w:ind w:left="283" w:hanging="170"/>
      </w:pPr>
      <w:r>
        <w:rPr>
          <w:rFonts w:ascii="Malgun Gothic" w:hAnsi="Malgun Gothic" w:eastAsia="Malgun Gothic"/>
        </w:rPr>
        <w:t>• 문서는 원문 보관과 별개로 검색용 인덱스(문단/조항 단위)로 분해 저장한다.</w:t>
      </w:r>
    </w:p>
    <w:p>
      <w:pPr>
        <w:ind w:left="283" w:hanging="170"/>
      </w:pPr>
      <w:r>
        <w:rPr>
          <w:rFonts w:ascii="Malgun Gothic" w:hAnsi="Malgun Gothic" w:eastAsia="Malgun Gothic"/>
        </w:rPr>
        <w:t>• 표준계약서, 우선 적용 조항, 예외 허용 조항, 대체 양식(예: 당사 양식 제안)이 별도 관리되어야 한다.</w:t>
      </w:r>
    </w:p>
    <w:p>
      <w:pPr>
        <w:ind w:left="283" w:hanging="170"/>
      </w:pPr>
      <w:r>
        <w:rPr>
          <w:rFonts w:ascii="Malgun Gothic" w:hAnsi="Malgun Gothic" w:eastAsia="Malgun Gothic"/>
        </w:rPr>
        <w:t>• 검색 결과는 ‘유사 사례’, ‘권고 표준문구’, ‘대체 템플릿’, ‘주의 경고’ 4개 버킷으로 구분하여 제공한다.</w:t>
      </w:r>
    </w:p>
    <w:p>
      <w:pPr>
        <w:pStyle w:val="Heading1"/>
      </w:pPr>
      <w:r>
        <w:t>9. 의사결정 규칙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</w:tblPr>
      <w:tblGrid>
        <w:gridCol w:w="3400"/>
        <w:gridCol w:w="3400"/>
        <w:gridCol w:w="3400"/>
      </w:tblGrid>
      <w:tr>
        <w:tc>
          <w:tcPr>
            <w:tcW w:type="dxa" w:w="1701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리스크 등급</w:t>
            </w:r>
          </w:p>
        </w:tc>
        <w:tc>
          <w:tcPr>
            <w:tcW w:type="dxa" w:w="3402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예시</w:t>
            </w:r>
          </w:p>
        </w:tc>
        <w:tc>
          <w:tcPr>
            <w:tcW w:type="dxa" w:w="3969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처리 원칙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Low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문구 정리, 경미한 표현 수정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봇 초안 + 법무 간단 확인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Medium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손해배상/지연배상/하자 등 협상 필요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법무 검토 필수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High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무제한 책임, 과도한 면책, 핵심 IP 이전, 법령 위반 우려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법무 관리자 승인 필요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Critical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위법 가능성, 대외 분쟁 가능성 큼, 회사 정책 위배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자동 회신 금지, 즉시 대면 검토</w:t>
            </w:r>
          </w:p>
        </w:tc>
      </w:tr>
    </w:tbl>
    <w:p/>
    <w:p>
      <w:pPr>
        <w:pStyle w:val="Heading1"/>
      </w:pPr>
      <w:r>
        <w:t>10. 화면/산출물 요구사항</w:t>
      </w:r>
    </w:p>
    <w:p>
      <w:pPr>
        <w:ind w:left="283" w:hanging="170"/>
      </w:pPr>
      <w:r>
        <w:rPr>
          <w:rFonts w:ascii="Malgun Gothic" w:hAnsi="Malgun Gothic" w:eastAsia="Malgun Gothic"/>
        </w:rPr>
        <w:t>• 신청자 화면: 요청요약, 누락정보 체크, 봇 질문/답변, 진행상태, 산출물 다운로드</w:t>
      </w:r>
    </w:p>
    <w:p>
      <w:pPr>
        <w:ind w:left="283" w:hanging="170"/>
      </w:pPr>
      <w:r>
        <w:rPr>
          <w:rFonts w:ascii="Malgun Gothic" w:hAnsi="Malgun Gothic" w:eastAsia="Malgun Gothic"/>
        </w:rPr>
        <w:t>• 법무 검토화면: 원문-수정문안 비교, 유사사례 패널, 회사기준 패널, 승인 버튼</w:t>
      </w:r>
    </w:p>
    <w:p>
      <w:pPr>
        <w:ind w:left="283" w:hanging="170"/>
      </w:pPr>
      <w:r>
        <w:rPr>
          <w:rFonts w:ascii="Malgun Gothic" w:hAnsi="Malgun Gothic" w:eastAsia="Malgun Gothic"/>
        </w:rPr>
        <w:t>• 산출물 1: 수정계약서(redline + clean version)</w:t>
      </w:r>
    </w:p>
    <w:p>
      <w:pPr>
        <w:ind w:left="283" w:hanging="170"/>
      </w:pPr>
      <w:r>
        <w:rPr>
          <w:rFonts w:ascii="Malgun Gothic" w:hAnsi="Malgun Gothic" w:eastAsia="Malgun Gothic"/>
        </w:rPr>
        <w:t>• 산출물 2: 1차 검토의견서(요약, 쟁점, 권고안, 예외 필요사항)</w:t>
      </w:r>
    </w:p>
    <w:p>
      <w:pPr>
        <w:ind w:left="283" w:hanging="170"/>
      </w:pPr>
      <w:r>
        <w:rPr>
          <w:rFonts w:ascii="Malgun Gothic" w:hAnsi="Malgun Gothic" w:eastAsia="Malgun Gothic"/>
        </w:rPr>
        <w:t>• 산출물 3: 최종 법무보고서(결론, 조건부 승인사항, 후속조치)</w:t>
      </w:r>
    </w:p>
    <w:p>
      <w:pPr>
        <w:pStyle w:val="Heading1"/>
      </w:pPr>
      <w:r>
        <w:t>11. 외부/내부 연계 요구사항</w:t>
      </w:r>
    </w:p>
    <w:p>
      <w:pPr>
        <w:ind w:left="283" w:hanging="170"/>
      </w:pPr>
      <w:r>
        <w:rPr>
          <w:rFonts w:ascii="Malgun Gothic" w:hAnsi="Malgun Gothic" w:eastAsia="Malgun Gothic"/>
        </w:rPr>
        <w:t>• EP 시스템과는 요청 생성/상태변경/첨부조회/결과 회신 API 또는 DB 연계 필요</w:t>
      </w:r>
    </w:p>
    <w:p>
      <w:pPr>
        <w:ind w:left="283" w:hanging="170"/>
      </w:pPr>
      <w:r>
        <w:rPr>
          <w:rFonts w:ascii="Malgun Gothic" w:hAnsi="Malgun Gothic" w:eastAsia="Malgun Gothic"/>
        </w:rPr>
        <w:t>• 사내 문서저장소와 연계하여 과거 검토문서, 표준양식, 법무 정책 문서를 주기적으로 동기화</w:t>
      </w:r>
    </w:p>
    <w:p>
      <w:pPr>
        <w:ind w:left="283" w:hanging="170"/>
      </w:pPr>
      <w:r>
        <w:rPr>
          <w:rFonts w:ascii="Malgun Gothic" w:hAnsi="Malgun Gothic" w:eastAsia="Malgun Gothic"/>
        </w:rPr>
        <w:t>• 전자결재 또는 결재선 정보 연계 시 고위험 건은 자동으로 관리자 승인 경로 지정</w:t>
      </w:r>
    </w:p>
    <w:p>
      <w:pPr>
        <w:pStyle w:val="Heading1"/>
      </w:pPr>
      <w:r>
        <w:t>12. 운영 정책 요구사항</w:t>
      </w:r>
    </w:p>
    <w:p>
      <w:pPr>
        <w:ind w:left="283" w:hanging="170"/>
      </w:pPr>
      <w:r>
        <w:rPr>
          <w:rFonts w:ascii="Malgun Gothic" w:hAnsi="Malgun Gothic" w:eastAsia="Malgun Gothic"/>
        </w:rPr>
        <w:t>• 모든 자동 작성문구에는 ‘법무팀 최종 승인 전 대외 확정 금지’ 상태 표시</w:t>
      </w:r>
    </w:p>
    <w:p>
      <w:pPr>
        <w:ind w:left="283" w:hanging="170"/>
      </w:pPr>
      <w:r>
        <w:rPr>
          <w:rFonts w:ascii="Malgun Gothic" w:hAnsi="Malgun Gothic" w:eastAsia="Malgun Gothic"/>
        </w:rPr>
        <w:t>• 사례 재사용 시 상대방명, 금액, 민감정보는 마스킹 또는 권한별 차등 표시</w:t>
      </w:r>
    </w:p>
    <w:p>
      <w:pPr>
        <w:ind w:left="283" w:hanging="170"/>
      </w:pPr>
      <w:r>
        <w:rPr>
          <w:rFonts w:ascii="Malgun Gothic" w:hAnsi="Malgun Gothic" w:eastAsia="Malgun Gothic"/>
        </w:rPr>
        <w:t>• 정책 변경 시 버전 관리 및 소급적용 범위를 명확히 기록</w:t>
      </w:r>
    </w:p>
    <w:p>
      <w:pPr>
        <w:pStyle w:val="Heading1"/>
      </w:pPr>
      <w:r>
        <w:t>13. 구축 단계 제안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1417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단계</w:t>
            </w:r>
          </w:p>
        </w:tc>
        <w:tc>
          <w:tcPr>
            <w:tcW w:type="dxa" w:w="1417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기간 예시</w:t>
            </w:r>
          </w:p>
        </w:tc>
        <w:tc>
          <w:tcPr>
            <w:tcW w:type="dxa" w:w="3402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범위</w:t>
            </w:r>
          </w:p>
        </w:tc>
        <w:tc>
          <w:tcPr>
            <w:tcW w:type="dxa" w:w="2835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성공 기준</w:t>
            </w:r>
          </w:p>
        </w:tc>
      </w:tr>
      <w:tr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1단계 PoC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6~8주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구매/용역/NDA 3종, 과거 사례 검색, 의견서 초안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법무팀 재작업 시간 30% 절감</w:t>
            </w:r>
          </w:p>
        </w:tc>
      </w:tr>
      <w:tr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2단계 Pilot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8~12주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EP 연계, redline 생성, 승인흐름, 관리자 정책화면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실제 업무 투입 가능</w:t>
            </w:r>
          </w:p>
        </w:tc>
      </w:tr>
      <w:tr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3단계 운영확대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12주+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전 계약유형 확대, 예외승인 통계, 품질모니터링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지식재사용률과 승인속도 향상</w:t>
            </w:r>
          </w:p>
        </w:tc>
      </w:tr>
    </w:tbl>
    <w:p/>
    <w:p>
      <w:pPr>
        <w:pStyle w:val="Heading1"/>
      </w:pPr>
      <w:r>
        <w:t>14. 오픈 이슈</w:t>
      </w:r>
    </w:p>
    <w:p>
      <w:pPr>
        <w:ind w:left="283" w:hanging="170"/>
      </w:pPr>
      <w:r>
        <w:rPr>
          <w:rFonts w:ascii="Malgun Gothic" w:hAnsi="Malgun Gothic" w:eastAsia="Malgun Gothic"/>
        </w:rPr>
        <w:t>• EP 시스템 내 과거 검토이력의 구조화 가능 범위(원문 접근, 메타데이터 유무)</w:t>
      </w:r>
    </w:p>
    <w:p>
      <w:pPr>
        <w:ind w:left="283" w:hanging="170"/>
      </w:pPr>
      <w:r>
        <w:rPr>
          <w:rFonts w:ascii="Malgun Gothic" w:hAnsi="Malgun Gothic" w:eastAsia="Malgun Gothic"/>
        </w:rPr>
        <w:t>• 사내 표준계약서/양식의 최신본 관리 책임 주체</w:t>
      </w:r>
    </w:p>
    <w:p>
      <w:pPr>
        <w:ind w:left="283" w:hanging="170"/>
      </w:pPr>
      <w:r>
        <w:rPr>
          <w:rFonts w:ascii="Malgun Gothic" w:hAnsi="Malgun Gothic" w:eastAsia="Malgun Gothic"/>
        </w:rPr>
        <w:t>• 법무팀별 검토 스타일 차이를 어떤 수준까지 표준화할지</w:t>
      </w:r>
    </w:p>
    <w:p>
      <w:pPr>
        <w:ind w:left="283" w:hanging="170"/>
      </w:pPr>
      <w:r>
        <w:rPr>
          <w:rFonts w:ascii="Malgun Gothic" w:hAnsi="Malgun Gothic" w:eastAsia="Malgun Gothic"/>
        </w:rPr>
        <w:t>• 대외 발송 시 자동 redline 허용 범위와 내부 승인 정책</w:t>
      </w:r>
    </w:p>
    <w:sectPr w:rsidR="00FC693F" w:rsidRPr="0006063C" w:rsidSect="00034616">
      <w:footerReference w:type="default" r:id="rId9"/>
      <w:pgSz w:w="12240" w:h="15840"/>
      <w:pgMar w:top="1020" w:right="1020" w:bottom="85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Malgun Gothic" w:hAnsi="Malgun Gothic" w:eastAsia="Malgun Gothic"/>
      <w:b w:val="0"/>
      <w:color w:val="2323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00" w:lineRule="auto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00" w:lineRule="auto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00" w:lineRule="auto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50505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2">
    <w:name w:val="Title2"/>
    <w:pPr>
      <w:spacing w:after="160"/>
    </w:pPr>
    <w:rPr>
      <w:rFonts w:ascii="Malgun Gothic" w:hAnsi="Malgun Gothic" w:eastAsia="Malgun Gothic"/>
      <w:b/>
      <w:color w:val="1F4E79"/>
      <w:sz w:val="4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