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OwnerPilot Constitutional Program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Completion status and outstanding work — as of 2026-07-26</w:t>
      </w:r>
    </w:p>
    <w:p>
      <w:pPr>
        <w:pStyle w:val="Heading1"/>
        <w:spacing w:after="150" w:before="300"/>
      </w:pPr>
      <w:r>
        <w:t xml:space="preserve">Executive summary</w:t>
      </w:r>
    </w:p>
    <w:p>
      <w:pPr>
        <w:spacing w:after="120"/>
      </w:pPr>
      <w:r>
        <w:t xml:space="preserve">Weighting each track below by rough scope of remaining effort gives an overall program completion estimate of approximately 40%. This is a judgment call, not a precise measurement — the constitutional program has no single fixed end-state, so the number should be read as directional: roughly two-fifths of the total scoped work is done, with the largest remaining blocks being the BTRM-001 nine-component intelligence build and the eight not-yet-started product capabilities (ECAPs).</w:t>
      </w:r>
    </w:p>
    <w:p>
      <w:pPr>
        <w:spacing w:after="120"/>
      </w:pPr>
      <w:r>
        <w:t xml:space="preserve">The governance substrate itself (Track 1: foundation, and most of Track 2: assurance) is essentially finished and closed. Everything still in motion sits in application-layer work — building actual intelligence components (BTRM-001), actual product capabilities (ECAPs), and reconciling the research pipeline (RP-001..007) into ratified architecture.</w:t>
      </w:r>
    </w:p>
    <w:p>
      <w:pPr>
        <w:pStyle w:val="Heading1"/>
        <w:spacing w:after="150" w:before="300"/>
      </w:pPr>
      <w:r>
        <w:t xml:space="preserve">Completion by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760"/>
      </w:tblGrid>
      <w:tr>
        <w:tc>
          <w:tcPr>
            <w:tcW w:type="dxa" w:w="3400"/>
            <w:shd w:fill="D9D9D9" w:color="auto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Track</w:t>
            </w:r>
          </w:p>
        </w:tc>
        <w:tc>
          <w:tcPr>
            <w:tcW w:type="dxa" w:w="1200"/>
            <w:shd w:fill="D9D9D9" w:color="auto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% complete</w:t>
            </w:r>
          </w:p>
        </w:tc>
        <w:tc>
          <w:tcPr>
            <w:tcW w:type="dxa" w:w="4760"/>
            <w:shd w:fill="D9D9D9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Constitutional OS Foundation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476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Complete &amp; closed (EA-000, MAP-001, STD-003, CBS-001, EA-010, CIX-001, metadata retrofit)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Governance &amp; Assurance (CA-001 + P1 security)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~93%</w:t>
            </w:r>
          </w:p>
        </w:tc>
        <w:tc>
          <w:tcPr>
            <w:tcW w:type="dxa" w:w="476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CA-001 ratified; 3 of 4 P1 findings fully closed; CD-001 dedicated table deferred (non-blocking)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Capability Registry &amp; Product Build (12 ECAPs)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33%</w:t>
            </w:r>
          </w:p>
        </w:tc>
        <w:tc>
          <w:tcPr>
            <w:tcW w:type="dxa" w:w="476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Registry/EA-100 ratified; Wave 1 delivered (4 of 12 ECAPs); Waves 2-3 not started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BTRM-001 Behavioral Trust Model (9 components)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22%</w:t>
            </w:r>
          </w:p>
        </w:tc>
        <w:tc>
          <w:tcPr>
            <w:tcW w:type="dxa" w:w="476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Ratified; ENR-001 + BAE-001 shipped dark; 7 of 9 components remaining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RP Research/Vision Pipeline (RP-001..007)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~12%</w:t>
            </w:r>
          </w:p>
        </w:tc>
        <w:tc>
          <w:tcPr>
            <w:tcW w:type="dxa" w:w="476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7 captured; 1 of ~4 known conflicts reconciled (RQS-OCM-001); 0 RPs individually ratified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Deferred models &amp; infra (EA-012, TM-001, CM-001, P5.5, CK-001, EA-011, CD-001, ESL-005)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476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Intentionally held/sequenced per Founder priority order — not started</w:t>
            </w:r>
          </w:p>
        </w:tc>
      </w:tr>
    </w:tbl>
    <w:p>
      <w:pPr>
        <w:spacing w:before="300"/>
      </w:pPr>
    </w:p>
    <w:p>
      <w:pPr>
        <w:pStyle w:val="Heading1"/>
        <w:spacing w:after="150" w:before="300"/>
      </w:pPr>
      <w:r>
        <w:t xml:space="preserve">What has been written and shipped</w:t>
      </w:r>
    </w:p>
    <w:p>
      <w:pPr>
        <w:pStyle w:val="Heading2"/>
        <w:spacing w:after="120" w:before="240"/>
      </w:pPr>
      <w:r>
        <w:t xml:space="preserve">1. Constitutional OS foundation — complete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EA-000 (meta-architecture), MAP-001 (canonical architecture mapping), STD-003 (metadata schema), CBS-001 (build/validation system), EA-010 (Knowledge Library) — ratified, Foundation set closed per ADR-010/ADR-011.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CIX-001 generated indexes (constitution/index/*.json, 15 files), full metadata retrofit across all artifacts, STD-002 artifact lifecycle standard, Constitutional Recovery Kit.</w:t>
      </w:r>
    </w:p>
    <w:p>
      <w:pPr>
        <w:pStyle w:val="Heading2"/>
        <w:spacing w:after="120" w:before="240"/>
      </w:pPr>
      <w:r>
        <w:t xml:space="preserve">2. Governance &amp; assurance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CA-001 Constitutional Auditor — ratified, delivered entirely by extension of the existing schema (no parallel registries).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P1 security evidence: 9 deterministic SEC-* checks green vs production. Finding D (leaked-password protection) remediated and verified. Finding A (exposed-schema confirmation) closed. Findings B/C (pg_net placement, append-only walls) ratified as compliant-with-observation.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automation design complete (three tiers: deterministic / AI-assisted-advisory / human-only) — not yet deployed.</w:t>
      </w:r>
    </w:p>
    <w:p>
      <w:pPr>
        <w:pStyle w:val="Heading2"/>
        <w:spacing w:after="120" w:before="240"/>
      </w:pPr>
      <w:r>
        <w:t xml:space="preserve">3. Capability Registry &amp; Product Build Program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REG-CAP-001 (Capability Registry) and EA-100 (OwnerPilot Enterprise Architecture) — ratified. 21 capabilities registered by metadata extension of the live constitution.capabilities 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Wave 1 delivered through the full 10-stage PROC-100 pipeline: ECAP-001 AI Assistant, ECAP-002 Document Generation, ECAP-003 Serve &amp; Track, ECAP-010 Evidence Management. All security-reviewed against production evidence, released.</w:t>
      </w:r>
    </w:p>
    <w:p>
      <w:pPr>
        <w:pStyle w:val="Heading2"/>
        <w:spacing w:after="120" w:before="240"/>
      </w:pPr>
      <w:r>
        <w:t xml:space="preserve">4. BTRM-001 — Behavioral Trust and Resolution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Ratified (ADR-013) as the full nine-component build (ENR-001, BAE-001, TM-001, CM-001, ICOA-001, RIE-001, OCM-001, CS-001, POL-001).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0 foundation shipped: kill-switch flags, full data model, mandatory explainability envelope, runtime safeguards (no personality labeling, no protected-characteristic use, human-review gating).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1 (ENR-001, evidence normalization/reconstruction) shipped, dark by default.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2 (BAE-001, behavioral analysis engine) shipped, dark by default. 80 tests passing across lib/btrm/, full-repo typecheck clean.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RQS-OCM-001 numeric-scoring conflict — raised twice (RPT-012, RPT-013), formally reconciled and ratified (RPT-014, ADR-015); BTRM-001 amended to v1.1 with section 3.7.1.</w:t>
      </w:r>
    </w:p>
    <w:p>
      <w:pPr>
        <w:pStyle w:val="Heading2"/>
        <w:spacing w:after="120" w:before="240"/>
      </w:pPr>
      <w:r>
        <w:t xml:space="preserve">5. RP research/vision pipeline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RP family adopted (ADR-014) as an explicitly non-constitutional capture mechanism with its own graduation pipeline.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RP-001 Decision Intelligence, RP-002 Decision Calibration, RP-003 Portfolio Memory, RP-004 Negotiation Intelligence — captured.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RP-005 Adaptive Decision Intelligence + RPT-012 impact assessment — captured.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RP-006 Executive Decision Intelligence Platform + RPT-013 impact assessment + DOC-003 section 15 addendum — captured.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RP-007 Tenant Behavioral Intelligence Engine (TBIE) / Case Evolution Engine (CEE) + RPT-015 impact assessment — captured (v0.2, engineering-ready).</w:t>
      </w:r>
    </w:p>
    <w:p>
      <w:pPr>
        <w:pStyle w:val="Heading2"/>
        <w:spacing w:after="120" w:before="240"/>
      </w:pPr>
      <w:r>
        <w:t xml:space="preserve">6. Knowledge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Drive knowledge library structure built and populated; Notion Constitutional Index database built and live-synced for every artifact created this program, including RP-007/RPT-015 as of today.</w:t>
      </w:r>
    </w:p>
    <w:p>
      <w:pPr>
        <w:pStyle w:val="Heading1"/>
        <w:spacing w:after="150" w:before="300"/>
      </w:pPr>
      <w:r>
        <w:t xml:space="preserve">What remains outstanding</w:t>
      </w:r>
    </w:p>
    <w:p>
      <w:pPr>
        <w:pStyle w:val="Heading2"/>
        <w:spacing w:after="120" w:before="240"/>
      </w:pPr>
      <w:r>
        <w:t xml:space="preserve">Immediate next (in priority order per STATUS.md)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BTRM-001 Stage 3 — TM-001 + CM-001 real implementation (wiring already-Proposed specs into BTRM-001, reused not redesigned), consuming BAE-001's output.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BTRM-001 Stages 4-7 — ICOA-001, RIE-001, OCM-001 + CS-001, POL-001, each its own flag-gated, dark, reviewable PR.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RP-007 (TBIE/CEE): Architecture Draft scoping the data models as extensions of ENR-001/BAE-001 rather than a parallel schema (open engineering decision, candidate ADR already identified).</w:t>
      </w:r>
    </w:p>
    <w:p>
      <w:pPr>
        <w:pStyle w:val="Heading2"/>
        <w:spacing w:after="120" w:before="240"/>
      </w:pPr>
      <w:r>
        <w:t xml:space="preserve">Research pipeline reconciliation (not yet done)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RP-001..004 — overlap-check against BTRM-001/TM-001/CM-001 not yet performed for any of the four.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RP-006 — OPOS/OPIL vs. EA-012 naming collision still open; EDIC data-sourcing/privacy/IP question still open.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RP-007 — Case Evolution Engine has no existing architectural owner; needs its own Architecture Draft distinct from TBIE.</w:t>
      </w:r>
    </w:p>
    <w:p>
      <w:pPr>
        <w:pStyle w:val="Heading2"/>
        <w:spacing w:after="120" w:before="240"/>
      </w:pPr>
      <w:r>
        <w:t xml:space="preserve">Product build — not started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 of 12 modeled ECAPs remain undelivered: RiskPath, Property Intelligence, Pricing Intelligence, Compliance Guidance, Workflow Automation, Communication, Reporting, Customer Portal.</w:t>
      </w:r>
    </w:p>
    <w:p>
      <w:pPr>
        <w:pStyle w:val="Heading2"/>
        <w:spacing w:after="120" w:before="240"/>
      </w:pPr>
      <w:r>
        <w:t xml:space="preserve">Deferred / held models and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EA-012 Constitutional Intelligence Layer — Proposed, architecture not begun.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IMR-001 Intelligence Model Registry — Proposed, not built.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TM-001 Trust Model and CM-001 Confidence Model — Proposed as standalone artifacts (reused inside BTRM-001, but not yet ratified independently).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P5.5 Constitutional Knowledge Graph, CK-001 Query Engine — Proposed, not designed.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EA-011 provider governance, CD-001 draft — Proposed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ESL-005 (Monte Carlo) — architecture accepted, resume held behind the unrelated FF-3 production-flip window.</w:t>
      </w:r>
    </w:p>
    <w:p>
      <w:pPr>
        <w:pStyle w:val="Heading2"/>
        <w:spacing w:after="120" w:before="240"/>
      </w:pPr>
      <w:r>
        <w:t xml:space="preserve">Minor open items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STATUS.md's older generated-stats comment block still reads "70 artifacts" in one location; live count is 72 (cosmetic drift, not a functional issue).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small stray Google Drive docs from this session (an accidental empty placeholder and the prior dated STATUS mirror) are ready for manual deletion — Drive sync has no update-in-place or delete tool.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"Vertical Slice 001" status report pasted into this session (branch, GitHub 403 write, implementation freeze) does not correspond to anything in the repository or anything performed this session — source still unverified.</w:t>
      </w:r>
    </w:p>
    <w:p>
      <w:pPr>
        <w:spacing w:before="200"/>
      </w:pPr>
    </w:p>
    <w:p>
      <w:r>
        <w:rPr>
          <w:b/>
          <w:bCs/>
          <w:sz w:val="20"/>
          <w:szCs w:val="20"/>
        </w:rPr>
        <w:t xml:space="preserve">Methodology note: </w:t>
      </w:r>
      <w:r>
        <w:rPr>
          <w:i/>
          <w:iCs/>
          <w:sz w:val="20"/>
          <w:szCs w:val="20"/>
        </w:rPr>
        <w:t xml:space="preserve">the overall percentage is a weighted judgment call across six tracks of very different size and maturity, not a measurement against a fixed project plan. Treat it as directional context for prioritization, not a precise metric.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2026-07-26T01:07:05.844Z</dcterms:created>
  <dcterms:modified xsi:type="dcterms:W3CDTF">2026-07-26T01:07:05.845Z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