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2F5496"/>
          <w:sz w:val="36"/>
        </w:rPr>
        <w:t>高爾夫團用車安排建議</w:t>
      </w:r>
    </w:p>
    <w:p>
      <w:pPr>
        <w:jc w:val="center"/>
      </w:pPr>
      <w:r>
        <w:rPr>
          <w:i/>
          <w:color w:val="646464"/>
          <w:sz w:val="20"/>
        </w:rPr>
        <w:t>依團體人數、球具與行李空間，提供建議車型安排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4F81B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車型</w:t>
            </w:r>
          </w:p>
        </w:tc>
        <w:tc>
          <w:tcPr>
            <w:tcW w:type="dxa" w:w="2438"/>
            <w:vAlign w:val="center"/>
            <w:shd w:fill="4F81B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建議人數</w:t>
            </w:r>
          </w:p>
        </w:tc>
        <w:tc>
          <w:tcPr>
            <w:tcW w:type="dxa" w:w="4649"/>
            <w:vAlign w:val="center"/>
            <w:shd w:fill="4F81BD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安排說明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豐田 Alpha</w:t>
            </w:r>
          </w:p>
        </w:tc>
        <w:tc>
          <w:tcPr>
            <w:tcW w:type="dxa" w:w="24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t>4 人</w:t>
            </w:r>
          </w:p>
        </w:tc>
        <w:tc>
          <w:tcPr>
            <w:tcW w:type="dxa" w:w="464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t>適合 4 人一組，乘坐較舒適，並可保留足夠空間放置高爾夫球具與行李。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海獅 Toyota Hiace</w:t>
            </w:r>
          </w:p>
        </w:tc>
        <w:tc>
          <w:tcPr>
            <w:tcW w:type="dxa" w:w="24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t>5～8 人</w:t>
            </w:r>
          </w:p>
          <w:p>
            <w:pPr>
              <w:jc w:val="center"/>
            </w:pPr>
            <w:r>
              <w:t>或 9～12 人（兩臺海獅）</w:t>
            </w:r>
          </w:p>
        </w:tc>
        <w:tc>
          <w:tcPr>
            <w:tcW w:type="dxa" w:w="464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t>5～8 人可安排 1 台海獅；9～12 人亦可安排 2 台海獅，兼顧乘坐舒適度與行程調度彈性。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考斯特 Coaster</w:t>
            </w:r>
          </w:p>
        </w:tc>
        <w:tc>
          <w:tcPr>
            <w:tcW w:type="dxa" w:w="24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t>9～12 人</w:t>
            </w:r>
          </w:p>
        </w:tc>
        <w:tc>
          <w:tcPr>
            <w:tcW w:type="dxa" w:w="464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t>適合中型團體，乘客、球具與行李空間配置較為均衡。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大巴</w:t>
            </w:r>
          </w:p>
        </w:tc>
        <w:tc>
          <w:tcPr>
            <w:tcW w:type="dxa" w:w="24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t>16 人以上</w:t>
            </w:r>
          </w:p>
        </w:tc>
        <w:tc>
          <w:tcPr>
            <w:tcW w:type="dxa" w:w="464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t>適合人數較多之團體，整體接送效率與載運能力較為穩定。</w:t>
            </w:r>
          </w:p>
        </w:tc>
      </w:tr>
    </w:tbl>
    <w:p/>
    <w:p>
      <w:r>
        <w:rPr>
          <w:b/>
          <w:color w:val="C0504D"/>
          <w:sz w:val="26"/>
        </w:rPr>
        <w:t>補充說明</w:t>
      </w:r>
    </w:p>
    <w:p>
      <w:pPr>
        <w:pStyle w:val="ListBullet"/>
        <w:spacing w:after="40"/>
      </w:pPr>
      <w:r>
        <w:t>若安排 1 台海獅（6～8 人）時，於接送機當日，因球具與行李較多，可能需另加安排 1 台行李車。</w:t>
      </w:r>
    </w:p>
    <w:p>
      <w:pPr>
        <w:pStyle w:val="ListBullet"/>
        <w:spacing w:after="40"/>
      </w:pPr>
      <w:r>
        <w:t>若乘坐空間不足，或高爾夫球具、行李數量較多時，可依實際需求另行安排 1 台行李車配合使用。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