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550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85725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8536A"/>
                <w:sz w:val="16"/>
                <w:szCs w:val="16"/>
              </w:rPr>
              <w:t xml:space="preserve">DAILY MARKET WRAP · 인천프리미어지점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FFFFFF"/>
          <w:sz w:val="16"/>
          <w:szCs w:val="16"/>
          <w:shd w:fill="2D2864" w:color="auto" w:val="clear"/>
        </w:rPr>
        <w:t xml:space="preserve">  시장 마감 브리프  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0"/>
        <w:gridCol w:w="3520"/>
      </w:tblGrid>
      <w:tr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30"/>
                <w:szCs w:val="30"/>
              </w:rPr>
              <w:t xml:space="preserve">삼성전자 '재료 소멸'에 코스피 급락, 2차전지가 받쳤다</w:t>
            </w:r>
          </w:p>
          <w:p>
            <w:r>
              <w:rPr>
                <w:rFonts w:ascii="맑은 고딕" w:cs="맑은 고딕" w:eastAsia="맑은 고딕" w:hAnsi="맑은 고딕"/>
                <w:color w:val="58536A"/>
                <w:sz w:val="20"/>
                <w:szCs w:val="20"/>
              </w:rPr>
              <w:t xml:space="preserve">매도 사이드카까지 발동한 하루 — 엔비디아 실적(8/26)·잭슨홀(8/27~29)까지 반도체 변동성 경계</w:t>
            </w:r>
          </w:p>
        </w:tc>
        <w:tc>
          <w:tcPr>
            <w:tcW w:type="dxa" w:w="3520"/>
            <w:tcBorders>
              <w:top w:val="single" w:color="E2DBF2" w:sz="6"/>
              <w:left w:val="single" w:color="E2DBF2" w:sz="6"/>
              <w:bottom w:val="single" w:color="E2DBF2" w:sz="6"/>
              <w:right w:val="single" w:color="E2DBF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8"/>
                <w:szCs w:val="18"/>
              </w:rPr>
              <w:t xml:space="preserve">2026-08-24 (월) 장마감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color w:val="58536A"/>
                <w:sz w:val="16"/>
                <w:szCs w:val="16"/>
              </w:rPr>
              <w:t xml:space="preserve">발행 16:40 · 당일 배포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7"/>
                <w:szCs w:val="17"/>
              </w:rPr>
              <w:t xml:space="preserve">인천프리미어지점 인턴</w:t>
            </w:r>
          </w:p>
          <w:p>
            <w:r>
              <w:rPr>
                <w:rFonts w:ascii="맑은 고딕" w:cs="맑은 고딕" w:eastAsia="맑은 고딕" w:hAnsi="맑은 고딕"/>
                <w:color w:val="58536A"/>
                <w:sz w:val="16"/>
                <w:szCs w:val="16"/>
              </w:rPr>
              <w:t xml:space="preserve">김형준</w:t>
            </w:r>
          </w:p>
          <w:p>
            <w:r>
              <w:rPr>
                <w:rFonts w:ascii="맑은 고딕" w:cs="맑은 고딕" w:eastAsia="맑은 고딕" w:hAnsi="맑은 고딕"/>
                <w:color w:val="58536A"/>
                <w:sz w:val="16"/>
                <w:szCs w:val="16"/>
              </w:rPr>
              <w:t xml:space="preserve">010-5912-9992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900"/>
      </w:tblGrid>
      <w:tr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SIGNAL</w:t>
            </w:r>
          </w:p>
        </w:tc>
        <w:tc>
          <w:tcPr>
            <w:tcW w:type="dxa" w:w="99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삼성전자가 최대 110조원 규모 주주환원안(8/21 장마감 후 발표)에도 '재료 소멸' 인식에 8.88% 급락, 코스피는 11:23 매도 사이드카까지 발동하며 5.72% 급락. SK하이닉스도 동반 하락하며 반도체 Top2 쏠림 리스크가 그대로 드러났다.</w:t>
            </w:r>
          </w:p>
        </w:tc>
      </w:tr>
      <w:tr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KEY</w:t>
            </w:r>
          </w:p>
        </w:tc>
        <w:tc>
          <w:tcPr>
            <w:tcW w:type="dxa" w:w="99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코스닥은 중동발 유가 급등에 따른 ESS 수요 기대로 2차전지가 강세를 보이며 코스피와 정반대로 움직였다 — 반도체 단일 재료 의존도가 높은 지수 구조의 취약성이 재확인된 하루.</w:t>
            </w:r>
          </w:p>
        </w:tc>
      </w:tr>
      <w:tr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99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이번 주는 엔비디아 실적(8/26 미 마감 후, 한국시간 8/27 새벽), 한국은행 금통위(8/27), 잭슨홀 심포지엄(8/27~29)이 연이어 예정돼 있다. 반도체 추가 변동성에 대비해 신규 편입은 자제하고 2차전지·수출주 분산을 검토할 시점.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Ⅰ. 지수 · 대외 지표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1760"/>
        <w:gridCol w:w="1430"/>
        <w:gridCol w:w="1430"/>
        <w:gridCol w:w="4840"/>
      </w:tblGrid>
      <w:tr>
        <w:tc>
          <w:tcPr>
            <w:tcW w:type="dxa" w:w="154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76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종가</w:t>
            </w:r>
          </w:p>
        </w:tc>
        <w:tc>
          <w:tcPr>
            <w:tcW w:type="dxa" w:w="143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전일비</w:t>
            </w:r>
          </w:p>
        </w:tc>
        <w:tc>
          <w:tcPr>
            <w:tcW w:type="dxa" w:w="143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등락률</w:t>
            </w:r>
          </w:p>
        </w:tc>
        <w:tc>
          <w:tcPr>
            <w:tcW w:type="dxa" w:w="484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해석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KOSPI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6,690.62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7"/>
                <w:szCs w:val="17"/>
              </w:rPr>
              <w:t xml:space="preserve">−406.27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7"/>
                <w:szCs w:val="17"/>
              </w:rPr>
              <w:t xml:space="preserve">−5.72%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삼성전자 8%대 급락에 매도 사이드카(11:23) 발동, 그룹주 동반 급락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KOSDAQ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809.28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7"/>
                <w:szCs w:val="17"/>
              </w:rPr>
              <w:t xml:space="preserve">+7.34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7"/>
                <w:szCs w:val="17"/>
              </w:rPr>
              <w:t xml:space="preserve">+0.92%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2차전지 강세로 코스피와 디커플링, 유가 급등에 따른 ESS 수요 기대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원/달러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1,417원대(추정)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7"/>
                <w:szCs w:val="17"/>
              </w:rPr>
              <w:t xml:space="preserve">-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7"/>
                <w:szCs w:val="17"/>
              </w:rPr>
              <w:t xml:space="preserve">-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반도체 급락과 함께 환율도 상승 압력 — 정확한 종가는 재확인 필요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 10년물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7"/>
                <w:szCs w:val="17"/>
              </w:rPr>
              <w:t xml:space="preserve">-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7"/>
                <w:szCs w:val="17"/>
              </w:rPr>
              <w:t xml:space="preserve">-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이번 주 잭슨홀 심포지엄(8/27~29) 앞두고 관망 심리, 수치 미확인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S&amp;P500 선물 / WTI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7"/>
                <w:szCs w:val="17"/>
              </w:rPr>
              <w:t xml:space="preserve"/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7"/>
                <w:szCs w:val="17"/>
              </w:rPr>
              <w:t xml:space="preserve">-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중동 정세發 유가 급등이 2차전지·ESS 관련주 강세 배경으로 지목됨(정확한 유가 수치 미확인)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90"/>
        <w:gridCol w:w="5390"/>
      </w:tblGrid>
      <w:tr>
        <w:tc>
          <w:tcPr>
            <w:tcW w:type="dxa" w:w="53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center"/>
          </w:tcPr>
          <w:tbl>
            <w:tblPr>
              <w:tblW w:type="dxa" w:w="539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90"/>
            </w:tblGrid>
            <w:tr>
              <w:tc>
                <w:tcPr>
                  <w:tcW w:type="dxa" w:w="5390"/>
                  <w:tcBorders>
                    <w:top w:val="single" w:color="E2DBF2" w:sz="4"/>
                    <w:left w:val="single" w:color="E2DBF2" w:sz="4"/>
                    <w:bottom w:val="single" w:color="E2DBF2" w:sz="4"/>
                    <w:right w:val="single" w:color="E2DBF2" w:sz="4"/>
                  </w:tcBorders>
                  <w:shd w:fill="F5F3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D2864"/>
                      <w:sz w:val="16"/>
                      <w:szCs w:val="16"/>
                    </w:rPr>
                    <w:t xml:space="preserve">투자자별 순매수 (억원)</w:t>
                  </w:r>
                </w:p>
              </w:tc>
            </w:tr>
            <w:tr>
              <w:tc>
                <w:tcPr>
                  <w:tcW w:type="dxa" w:w="5390"/>
                  <w:tcBorders>
                    <w:top w:val="single" w:color="E2DBF2" w:sz="4"/>
                    <w:left w:val="single" w:color="E2DBF2" w:sz="4"/>
                    <w:bottom w:val="single" w:color="E2DBF2" w:sz="4"/>
                    <w:right w:val="single" w:color="E2DBF2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sz w:val="15"/>
                      <w:szCs w:val="15"/>
                    </w:rPr>
                    <w:t xml:space="preserve">KOSPI 외국인 순매도(규모 미확인) · 기관 순매도(규모 미확인) · 개인 -</w:t>
                  </w:r>
                </w:p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sz w:val="15"/>
                      <w:szCs w:val="15"/>
                    </w:rPr>
                    <w:t xml:space="preserve">KOSDAQ 외국인 - · 기관 - · 개인 -</w:t>
                  </w:r>
                </w:p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sz w:val="15"/>
                      <w:szCs w:val="15"/>
                    </w:rPr>
                    <w:t xml:space="preserve">선물 정확한 수급 데이터 미확인</w:t>
                  </w:r>
                </w:p>
              </w:tc>
            </w:tr>
          </w:tbl>
          <w:p/>
        </w:tc>
        <w:tc>
          <w:tcPr>
            <w:tcW w:type="dxa" w:w="53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center"/>
          </w:tcPr>
          <w:tbl>
            <w:tblPr>
              <w:tblW w:type="dxa" w:w="539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90"/>
            </w:tblGrid>
            <w:tr>
              <w:tc>
                <w:tcPr>
                  <w:tcW w:type="dxa" w:w="5390"/>
                  <w:tcBorders>
                    <w:top w:val="single" w:color="E2DBF2" w:sz="4"/>
                    <w:left w:val="single" w:color="E2DBF2" w:sz="4"/>
                    <w:bottom w:val="single" w:color="E2DBF2" w:sz="4"/>
                    <w:right w:val="single" w:color="E2DBF2" w:sz="4"/>
                  </w:tcBorders>
                  <w:shd w:fill="F5F3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2D2864"/>
                      <w:sz w:val="16"/>
                      <w:szCs w:val="16"/>
                    </w:rPr>
                    <w:t xml:space="preserve">시장 폭 (Breadth)</w:t>
                  </w:r>
                </w:p>
              </w:tc>
            </w:tr>
            <w:tr>
              <w:tc>
                <w:tcPr>
                  <w:tcW w:type="dxa" w:w="5390"/>
                  <w:tcBorders>
                    <w:top w:val="single" w:color="E2DBF2" w:sz="4"/>
                    <w:left w:val="single" w:color="E2DBF2" w:sz="4"/>
                    <w:bottom w:val="single" w:color="E2DBF2" w:sz="4"/>
                    <w:right w:val="single" w:color="E2DBF2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sz w:val="15"/>
                      <w:szCs w:val="15"/>
                    </w:rPr>
                    <w:t xml:space="preserve">상승/하락 - — 매도 사이드카 발동 정황상 하락 종목 우위로 추정(정확한 종목수 미확인)</w:t>
                  </w:r>
                </w:p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sz w:val="15"/>
                      <w:szCs w:val="15"/>
                    </w:rPr>
                    <w:t xml:space="preserve">거래대금 -</w:t>
                  </w:r>
                </w:p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sz w:val="15"/>
                      <w:szCs w:val="15"/>
                    </w:rPr>
                    <w:t xml:space="preserve">신용잔고 -</w:t>
                  </w:r>
                </w:p>
              </w:tc>
            </w:tr>
          </w:tbl>
          <w:p/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Ⅱ. 업종 동향 맵</w:t>
      </w:r>
      <w:r>
        <w:rPr>
          <w:rFonts w:ascii="맑은 고딕" w:cs="맑은 고딕" w:eastAsia="맑은 고딕" w:hAnsi="맑은 고딕"/>
          <w:color w:val="8F8A9E"/>
          <w:sz w:val="15"/>
          <w:szCs w:val="15"/>
        </w:rPr>
        <w:t xml:space="preserve">   박스 크기 = 시가총액 비중, 색 = 당일 등락률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c>
          <w:tcPr>
            <w:gridSpan w:val="5"/>
            <w:vMerge w:val="restart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반도체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−6.5%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34.9%</w:t>
            </w:r>
          </w:p>
        </w:tc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1E2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2차전지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+4.2%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10.5%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7C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6"/>
                <w:szCs w:val="16"/>
              </w:rPr>
              <w:t xml:space="preserve">자동차·부품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7"/>
                <w:szCs w:val="17"/>
              </w:rPr>
              <w:t xml:space="preserve">−0.3%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6306E"/>
                <w:sz w:val="12"/>
                <w:szCs w:val="12"/>
              </w:rPr>
              <w:t xml:space="preserve">10.5%</w:t>
            </w:r>
          </w:p>
        </w:tc>
      </w:tr>
      <w:tr>
        <w:tc>
          <w:tcPr>
            <w:gridSpan w:val="5"/>
            <w:vMerge w:val="continue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</w:tcPr>
          <w:p/>
        </w:tc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7C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6"/>
                <w:szCs w:val="16"/>
              </w:rPr>
              <w:t xml:space="preserve">은행·증권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7"/>
                <w:szCs w:val="17"/>
              </w:rPr>
              <w:t xml:space="preserve">−0.8%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6306E"/>
                <w:sz w:val="12"/>
                <w:szCs w:val="12"/>
              </w:rPr>
              <w:t xml:space="preserve">8.1%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7C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6"/>
                <w:szCs w:val="16"/>
              </w:rPr>
              <w:t xml:space="preserve">제약·바이오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7"/>
                <w:szCs w:val="17"/>
              </w:rPr>
              <w:t xml:space="preserve">−0.6%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6306E"/>
                <w:sz w:val="12"/>
                <w:szCs w:val="12"/>
              </w:rPr>
              <w:t xml:space="preserve">7%</w:t>
            </w:r>
          </w:p>
        </w:tc>
      </w:tr>
      <w:tr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화학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+0.1%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B1420"/>
                <w:sz w:val="12"/>
                <w:szCs w:val="12"/>
              </w:rPr>
              <w:t xml:space="preserve">7%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4B7B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6"/>
                <w:szCs w:val="16"/>
              </w:rPr>
              <w:t xml:space="preserve">조선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B1420"/>
                <w:sz w:val="17"/>
                <w:szCs w:val="17"/>
              </w:rPr>
              <w:t xml:space="preserve">+0.5%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6B1420"/>
                <w:sz w:val="12"/>
                <w:szCs w:val="12"/>
              </w:rPr>
              <w:t xml:space="preserve">5.8%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7C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6"/>
                <w:szCs w:val="16"/>
              </w:rPr>
              <w:t xml:space="preserve">인터넷·게임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7"/>
                <w:szCs w:val="17"/>
              </w:rPr>
              <w:t xml:space="preserve">−0.5%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6306E"/>
                <w:sz w:val="12"/>
                <w:szCs w:val="12"/>
              </w:rPr>
              <w:t xml:space="preserve">4.7%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9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8536A"/>
                <w:sz w:val="16"/>
                <w:szCs w:val="16"/>
              </w:rPr>
              <w:t xml:space="preserve">통신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8536A"/>
                <w:sz w:val="17"/>
                <w:szCs w:val="17"/>
              </w:rPr>
              <w:t xml:space="preserve">0.0%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8536A"/>
                <w:sz w:val="12"/>
                <w:szCs w:val="12"/>
              </w:rPr>
              <w:t xml:space="preserve">3.5%</w:t>
            </w:r>
          </w:p>
        </w:tc>
      </w:tr>
      <w:tr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7C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6"/>
                <w:szCs w:val="16"/>
              </w:rPr>
              <w:t xml:space="preserve">유통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7"/>
                <w:szCs w:val="17"/>
              </w:rPr>
              <w:t xml:space="preserve">−0.4%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6306E"/>
                <w:sz w:val="12"/>
                <w:szCs w:val="12"/>
              </w:rPr>
              <w:t xml:space="preserve">3.5%</w:t>
            </w:r>
          </w:p>
        </w:tc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7C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6"/>
                <w:szCs w:val="16"/>
              </w:rPr>
              <w:t xml:space="preserve">철강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7"/>
                <w:szCs w:val="17"/>
              </w:rPr>
              <w:t xml:space="preserve">−0.3%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6306E"/>
                <w:sz w:val="12"/>
                <w:szCs w:val="12"/>
              </w:rPr>
              <w:t xml:space="preserve">2.3%</w:t>
            </w:r>
          </w:p>
        </w:tc>
        <w:tc>
          <w:tcPr>
            <w:gridSpan w:val="4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7C9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6"/>
                <w:szCs w:val="16"/>
              </w:rPr>
              <w:t xml:space="preserve">건설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306E"/>
                <w:sz w:val="17"/>
                <w:szCs w:val="17"/>
              </w:rPr>
              <w:t xml:space="preserve">−0.2%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6306E"/>
                <w:sz w:val="12"/>
                <w:szCs w:val="12"/>
              </w:rPr>
              <w:t xml:space="preserve">2.3%</w:t>
            </w:r>
          </w:p>
        </w:tc>
      </w:tr>
    </w:tbl>
    <w:p>
      <w:pPr>
        <w:spacing w:before="60"/>
        <w:jc w:val="right"/>
      </w:pPr>
      <w:r>
        <w:rPr>
          <w:rFonts w:ascii="맑은 고딕" w:cs="맑은 고딕" w:eastAsia="맑은 고딕" w:hAnsi="맑은 고딕"/>
          <w:color w:val="8F8A9E"/>
          <w:sz w:val="12"/>
          <w:szCs w:val="12"/>
        </w:rPr>
        <w:t xml:space="preserve">자료: KRX, 한양증권 인천프리미어지점 재구성</w:t>
      </w:r>
    </w:p>
    <w:p>
      <w:pPr>
        <w:spacing w:before="100"/>
      </w:pPr>
      <w:r>
        <w:rPr>
          <w:rFonts w:ascii="맑은 고딕" w:cs="맑은 고딕" w:eastAsia="맑은 고딕" w:hAnsi="맑은 고딕"/>
          <w:sz w:val="15"/>
          <w:szCs w:val="15"/>
        </w:rPr>
        <w:t xml:space="preserve">삼성전자·SK하이닉스가 동반 급락하며 반도체 업종이 지수 전체를 끌어내린 하루였다. 반면 2차전지는 중동발 유가 급등에 따른 ESS 수요 기대감에 에코프로 등 소재주 중심으로 강하게 반등하며 코스피 약세를 코스닥 강세로 상쇄했다. (반도체·2차전지 외 업종 수치는 방향성 참고용 추정치이며 실제와 다를 수 있음)</w:t>
      </w:r>
    </w:p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Ⅲ. 이슈 종목 — 왜 움직였고, 이어질 것인가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990"/>
        <w:gridCol w:w="4400"/>
        <w:gridCol w:w="990"/>
        <w:gridCol w:w="3080"/>
      </w:tblGrid>
      <w:tr>
        <w:tc>
          <w:tcPr>
            <w:tcW w:type="dxa" w:w="154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종목</w:t>
            </w:r>
          </w:p>
        </w:tc>
        <w:tc>
          <w:tcPr>
            <w:tcW w:type="dxa" w:w="99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등락률</w:t>
            </w:r>
          </w:p>
        </w:tc>
        <w:tc>
          <w:tcPr>
            <w:tcW w:type="dxa" w:w="44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움직인 이유</w:t>
            </w:r>
          </w:p>
        </w:tc>
        <w:tc>
          <w:tcPr>
            <w:tcW w:type="dxa" w:w="99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지속성</w:t>
            </w:r>
          </w:p>
        </w:tc>
        <w:tc>
          <w:tcPr>
            <w:tcW w:type="dxa" w:w="308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언제·무엇을 확인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삼성전자(005930)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6"/>
                <w:szCs w:val="16"/>
              </w:rPr>
              <w:t xml:space="preserve">▼ −8.88%</w:t>
            </w:r>
          </w:p>
        </w:tc>
        <w:tc>
          <w:tcPr>
            <w:tcW w:type="dxa" w:w="44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8/21 장마감 후 발표한 90조~110조원 규모 주주환원안이 시장 기대에 못 미친다는 평가에 '재료 소멸' 매물 출회, 코스피 매도 사이드카까지 촉발.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5"/>
                <w:szCs w:val="15"/>
              </w:rPr>
              <w:t xml:space="preserve">약세 지속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60~80조원 구체 환원 방식이 결정될 내년 1월 이사회 전까지 추가 재료 공백 우려 — 단기 반등 시 매물 소화 여부 확인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SK하이닉스(000660)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6"/>
                <w:szCs w:val="16"/>
              </w:rPr>
              <w:t xml:space="preserve">▼ −1.85%</w:t>
            </w:r>
          </w:p>
        </w:tc>
        <w:tc>
          <w:tcPr>
            <w:tcW w:type="dxa" w:w="44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삼성전자 급락에 동반 매물 출회, 반도체 Top2 쏠림 리스크 부각(장중 기준, 종가는 재확인 필요).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8F8A9E"/>
                <w:sz w:val="15"/>
                <w:szCs w:val="15"/>
              </w:rPr>
              <w:t xml:space="preserve">중립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8/26 엔비디아 실적에서 HBM 수요·가이던스 코멘트 확인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에코프로(086520)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6"/>
                <w:szCs w:val="16"/>
              </w:rPr>
              <w:t xml:space="preserve">▲ +4.61%</w:t>
            </w:r>
          </w:p>
        </w:tc>
        <w:tc>
          <w:tcPr>
            <w:tcW w:type="dxa" w:w="44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중동발 유가 급등에 ESS 수요 기대감 부각, 2차전지 소재주 전반 강세(추정치, 종가 재확인 필요).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5"/>
                <w:szCs w:val="15"/>
              </w:rPr>
              <w:t xml:space="preserve">높음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국제유가 추가 상승 여부 및 ESS 관련 수주 공시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Ⅳ. 캘린더 — 언제, 무엇을, 왜 봐야 하나</w:t>
      </w:r>
      <w:r>
        <w:rPr>
          <w:rFonts w:ascii="맑은 고딕" w:cs="맑은 고딕" w:eastAsia="맑은 고딕" w:hAnsi="맑은 고딕"/>
          <w:color w:val="8F8A9E"/>
          <w:sz w:val="15"/>
          <w:szCs w:val="15"/>
        </w:rPr>
        <w:t xml:space="preserve">   시각은 한국시간 기준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3080"/>
        <w:gridCol w:w="1100"/>
        <w:gridCol w:w="5280"/>
      </w:tblGrid>
      <w:tr>
        <w:tc>
          <w:tcPr>
            <w:tcW w:type="dxa" w:w="154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일시</w:t>
            </w:r>
          </w:p>
        </w:tc>
        <w:tc>
          <w:tcPr>
            <w:tcW w:type="dxa" w:w="308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이벤트</w:t>
            </w:r>
          </w:p>
        </w:tc>
        <w:tc>
          <w:tcPr>
            <w:tcW w:type="dxa" w:w="11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중요도</w:t>
            </w:r>
          </w:p>
        </w:tc>
        <w:tc>
          <w:tcPr>
            <w:tcW w:type="dxa" w:w="528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체크포인트 / 영향 종목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8/27(목) 06:00경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5"/>
                <w:szCs w:val="15"/>
              </w:rPr>
              <w:t xml:space="preserve">엔비디아 FY2Q 실적·가이던스 (8/26 미 마감 후 발표)</w:t>
            </w:r>
          </w:p>
        </w:tc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54BE4"/>
                <w:sz w:val="15"/>
                <w:szCs w:val="15"/>
              </w:rPr>
              <w:t xml:space="preserve">★★★</w:t>
            </w:r>
          </w:p>
        </w:tc>
        <w:tc>
          <w:tcPr>
            <w:tcW w:type="dxa" w:w="52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데이터센터 매출·차기 가이던스 — 컨센서스 하회 시 반도체 추가 조정 우려, 국내 개장 전 확인 필요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8/27(목)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한국은행 금융통화위원회</w:t>
            </w:r>
          </w:p>
        </w:tc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54BE4"/>
                <w:sz w:val="15"/>
                <w:szCs w:val="15"/>
              </w:rPr>
              <w:t xml:space="preserve">★★☆</w:t>
            </w:r>
          </w:p>
        </w:tc>
        <w:tc>
          <w:tcPr>
            <w:tcW w:type="dxa" w:w="52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기준금리 결정 및 경제전망 — 반도체發 변동성 국면에서 통화정책 스탠스 확인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8/27(목)~29(토)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잭슨홀 경제정책 심포지엄</w:t>
            </w:r>
          </w:p>
        </w:tc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54BE4"/>
                <w:sz w:val="15"/>
                <w:szCs w:val="15"/>
              </w:rPr>
              <w:t xml:space="preserve">★★☆</w:t>
            </w:r>
          </w:p>
        </w:tc>
        <w:tc>
          <w:tcPr>
            <w:tcW w:type="dxa" w:w="52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연준 위원 발언으로 9월 이후 정책 힌트 확인 (주제: 금융혁신 — 지급·정책 함의)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8/28(금) 21:30(예상)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5"/>
                <w:szCs w:val="15"/>
              </w:rPr>
              <w:t xml:space="preserve">미 7월 PCE 물가</w:t>
            </w:r>
          </w:p>
        </w:tc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54BE4"/>
                <w:sz w:val="15"/>
                <w:szCs w:val="15"/>
              </w:rPr>
              <w:t xml:space="preserve">★★★</w:t>
            </w:r>
          </w:p>
        </w:tc>
        <w:tc>
          <w:tcPr>
            <w:tcW w:type="dxa" w:w="52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코어 PCE 서프라이즈 시 성장주 밸류에이션 추가 압박 가능 — 발표 시각 변경 가능성 있어 재확인 필요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9/15(화)~16(수)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9월 FOMC</w:t>
            </w:r>
          </w:p>
        </w:tc>
        <w:tc>
          <w:tcPr>
            <w:tcW w:type="dxa" w:w="11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54BE4"/>
                <w:sz w:val="15"/>
                <w:szCs w:val="15"/>
              </w:rPr>
              <w:t xml:space="preserve">★★☆</w:t>
            </w:r>
          </w:p>
        </w:tc>
        <w:tc>
          <w:tcPr>
            <w:tcW w:type="dxa" w:w="52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금리 인하 여부 및 점도표 — 반도체 재료 공백기 이후 방향성 분기점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지점 대응 요약 — 이번 주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7"/>
        <w:gridCol w:w="3667"/>
        <w:gridCol w:w="3667"/>
      </w:tblGrid>
      <w:tr>
        <w:tc>
          <w:tcPr>
            <w:tcW w:type="dxa" w:w="3667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유지</w:t>
            </w:r>
          </w:p>
        </w:tc>
        <w:tc>
          <w:tcPr>
            <w:tcW w:type="dxa" w:w="3667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축소</w:t>
            </w:r>
          </w:p>
        </w:tc>
        <w:tc>
          <w:tcPr>
            <w:tcW w:type="dxa" w:w="3667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현금·안내</w:t>
            </w:r>
          </w:p>
        </w:tc>
      </w:tr>
      <w:tr>
        <w:tc>
          <w:tcPr>
            <w:tcW w:type="dxa" w:w="3667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2차전지·ESS 관련주 비중 유지. 유가 상승 모멘텀 지속 여부 확인하며 대응.</w:t>
            </w:r>
          </w:p>
        </w:tc>
        <w:tc>
          <w:tcPr>
            <w:tcW w:type="dxa" w:w="3667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반도체 Top2 비중은 매도 사이드카 이후 변동성 확대 구간 — 신규 편입 보류, 반등 시 비중 일부 축소 검토.</w:t>
            </w:r>
          </w:p>
        </w:tc>
        <w:tc>
          <w:tcPr>
            <w:tcW w:type="dxa" w:w="3667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삼성전자 주주환원 관련 고객 문의 급증 예상 — 60~80조원 구체 환원 방식 미정 부분 사전 안내. 현금 비중 여유 있게 유지.</w:t>
            </w:r>
          </w:p>
        </w:tc>
      </w:tr>
    </w:tbl>
    <w:p>
      <w:pPr>
        <w:spacing w:after="60" w:before="260"/>
      </w:pPr>
      <w:r>
        <w:rPr>
          <w:rFonts w:ascii="맑은 고딕" w:cs="맑은 고딕" w:eastAsia="맑은 고딕" w:hAnsi="맑은 고딕"/>
          <w:b/>
          <w:bCs/>
          <w:color w:val="1B1626"/>
          <w:sz w:val="16"/>
          <w:szCs w:val="16"/>
        </w:rPr>
        <w:t xml:space="preserve">Compliance Notice</w:t>
      </w:r>
    </w:p>
    <w:p>
      <w:pPr>
        <w:spacing w:after="20"/>
      </w:pPr>
      <w:r>
        <w:rPr>
          <w:rFonts w:ascii="맑은 고딕" w:cs="맑은 고딕" w:eastAsia="맑은 고딕" w:hAnsi="맑은 고딕"/>
          <w:color w:val="8F8A9E"/>
          <w:sz w:val="13"/>
          <w:szCs w:val="13"/>
        </w:rPr>
        <w:t xml:space="preserve">·  본 자료는 지점 내부 참고자료로, 제3자에게 사전 제공된 사실이 없습니다.</w:t>
      </w:r>
    </w:p>
    <w:p>
      <w:pPr>
        <w:spacing w:after="20"/>
      </w:pPr>
      <w:r>
        <w:rPr>
          <w:rFonts w:ascii="맑은 고딕" w:cs="맑은 고딕" w:eastAsia="맑은 고딕" w:hAnsi="맑은 고딕"/>
          <w:color w:val="8F8A9E"/>
          <w:sz w:val="13"/>
          <w:szCs w:val="13"/>
        </w:rPr>
        <w:t xml:space="preserve">·  작성자는 자료 작성일 현재 본 자료에 언급된 종목과 재산적 이해관계가 없습니다.</w:t>
      </w:r>
    </w:p>
    <w:p>
      <w:pPr>
        <w:spacing w:after="20"/>
      </w:pPr>
      <w:r>
        <w:rPr>
          <w:rFonts w:ascii="맑은 고딕" w:cs="맑은 고딕" w:eastAsia="맑은 고딕" w:hAnsi="맑은 고딕"/>
          <w:color w:val="8F8A9E"/>
          <w:sz w:val="13"/>
          <w:szCs w:val="13"/>
        </w:rPr>
        <w:t xml:space="preserve">·  본 자료의 수치는 언론 보도 및 시장 데이터를 정리한 것으로 당사 리서치센터의 공식 견해가 아니며, 정확성·완전성을 보장하지 않습니다.</w:t>
      </w:r>
    </w:p>
    <w:p>
      <w:pPr>
        <w:spacing w:before="160"/>
      </w:pPr>
      <w:r>
        <w:rPr>
          <w:rFonts w:ascii="맑은 고딕" w:cs="맑은 고딕" w:eastAsia="맑은 고딕" w:hAnsi="맑은 고딕"/>
          <w:color w:val="8F8A9E"/>
          <w:sz w:val="12"/>
          <w:szCs w:val="12"/>
        </w:rPr>
        <w:t xml:space="preserve">작성·문의: 한양증권 인천프리미어지점 인턴 김형준 (010-5912-9992) · 투자 권유 목적이 아니며 투자판단의 책임은 투자자 본인에게 있습니다.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f90577f7f9106973815dc0b8beee6ec69c09b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2026-08-24T10:23:56.839Z</dcterms:created>
  <dcterms:modified xsi:type="dcterms:W3CDTF">2026-08-24T10:23:56.840Z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