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85725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6"/>
                <w:szCs w:val="16"/>
              </w:rPr>
              <w:t xml:space="preserve">DAILY MARKET WRAP · 인천프리미어지점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FFFFFF"/>
          <w:sz w:val="16"/>
          <w:szCs w:val="16"/>
          <w:shd w:fill="2D2864" w:color="auto" w:val="clear"/>
        </w:rPr>
        <w:t xml:space="preserve">  시장 마감 브리프  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0"/>
        <w:gridCol w:w="3520"/>
      </w:tblGrid>
      <w:tr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30"/>
                <w:szCs w:val="30"/>
              </w:rPr>
              <w:t xml:space="preserve">지수는 올랐지만 오른 건 둘뿐 — 압축 장세의 재확인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20"/>
                <w:szCs w:val="20"/>
              </w:rPr>
              <w:t xml:space="preserve">엔비디아 실적(8/27)·미 7월 PCE(8/28)까지는 지수 추격보다 종목 대응</w:t>
            </w:r>
          </w:p>
        </w:tc>
        <w:tc>
          <w:tcPr>
            <w:tcW w:type="dxa" w:w="3520"/>
            <w:tcBorders>
              <w:top w:val="single" w:color="E2DBF2" w:sz="6"/>
              <w:left w:val="single" w:color="E2DBF2" w:sz="6"/>
              <w:bottom w:val="single" w:color="E2DBF2" w:sz="6"/>
              <w:right w:val="single" w:color="E2DBF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8"/>
                <w:szCs w:val="18"/>
              </w:rPr>
              <w:t xml:space="preserve">2026-08-24 (월) 장마감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color w:val="58536A"/>
                <w:sz w:val="16"/>
                <w:szCs w:val="16"/>
              </w:rPr>
              <w:t xml:space="preserve">발행 16:40 · 당일 배포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7"/>
                <w:szCs w:val="17"/>
              </w:rPr>
              <w:t xml:space="preserve">인천프리미어지점 인턴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16"/>
                <w:szCs w:val="16"/>
              </w:rPr>
              <w:t xml:space="preserve">김형준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16"/>
                <w:szCs w:val="16"/>
              </w:rPr>
              <w:t xml:space="preserve">010-5912-9992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900"/>
      </w:tblGrid>
      <w:tr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SIGNAL</w:t>
            </w:r>
          </w:p>
        </w:tc>
        <w:tc>
          <w:tcPr>
            <w:tcW w:type="dxa" w:w="99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외국인 현물 3거래일 연속 순매수. 다만 매수는 반도체 Top2와 전력기기에만 집중, 상승/하락 종목수는 412 / 468로 체감은 약세장.</w:t>
            </w:r>
          </w:p>
        </w:tc>
      </w:tr>
      <w:tr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99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 10년물 4.35%가 눌러놓은 멀티플. 금리가 내려오기 전까지 성장주·바이오·2차전지는 반등 시도마다 물량이 나옴.</w:t>
            </w:r>
          </w:p>
        </w:tc>
      </w:tr>
      <w:tr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99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이번 주는 8/27(목) 06:00 엔비디아 실적, 8/28(금) 21:30 미 7월 PCE가 분기점. 그 전까지 신규 편입은 반도체·전력기기 눌림목으로 한정.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Ⅰ. 지수 · 대외 지표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1760"/>
        <w:gridCol w:w="1430"/>
        <w:gridCol w:w="1430"/>
        <w:gridCol w:w="4840"/>
      </w:tblGrid>
      <w:tr>
        <w:tc>
          <w:tcPr>
            <w:tcW w:type="dxa" w:w="15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76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종가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전일비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등락률</w:t>
            </w:r>
          </w:p>
        </w:tc>
        <w:tc>
          <w:tcPr>
            <w:tcW w:type="dxa" w:w="48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해석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KOSPI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6,958.30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+45.35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+0.66%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반도체 2종목이 지수 상승분의 약 80% 기여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KOSDAQ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1,018.44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−7.12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−0.69%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바이오·2차전지 차익실현, 20일선 이탈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원/달러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1,347.20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−6.30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−0.47%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환율 하락은 외국인 수급에 우호적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 10년물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4.35%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+4bp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—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4.30% 상단 고착 = 밸류에이션 확장 제한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S&amp;P500 선물 / WTI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6,412 / $71.8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/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+0.2% / +1.1%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유가 재상승은 금리 안정 시나리오의 걸림돌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0"/>
        <w:gridCol w:w="5390"/>
      </w:tblGrid>
      <w:tr>
        <w:tc>
          <w:tcPr>
            <w:tcW w:type="dxa" w:w="5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center"/>
          </w:tcPr>
          <w:tbl>
            <w:tblPr>
              <w:tblW w:type="dxa" w:w="53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90"/>
            </w:tblGrid>
            <w:tr>
              <w:tc>
                <w:tcPr>
                  <w:tcW w:type="dxa" w:w="5390"/>
                  <w:tcBorders>
                    <w:top w:val="single" w:color="E2DBF2" w:sz="4"/>
                    <w:left w:val="single" w:color="E2DBF2" w:sz="4"/>
                    <w:bottom w:val="single" w:color="E2DBF2" w:sz="4"/>
                    <w:right w:val="single" w:color="E2DBF2" w:sz="4"/>
                  </w:tcBorders>
                  <w:shd w:fill="F5F3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D2864"/>
                      <w:sz w:val="16"/>
                      <w:szCs w:val="16"/>
                    </w:rPr>
                    <w:t xml:space="preserve">투자자별 순매수 (억원)</w:t>
                  </w:r>
                </w:p>
              </w:tc>
            </w:tr>
            <w:tr>
              <w:tc>
                <w:tcPr>
                  <w:tcW w:type="dxa" w:w="5390"/>
                  <w:tcBorders>
                    <w:top w:val="single" w:color="E2DBF2" w:sz="4"/>
                    <w:left w:val="single" w:color="E2DBF2" w:sz="4"/>
                    <w:bottom w:val="single" w:color="E2DBF2" w:sz="4"/>
                    <w:right w:val="single" w:color="E2DBF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KOSPI 외국인 +3,210 · 기관 +540 · 개인 −3,760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KOSDAQ 외국인 −280 · 기관 −610 · 개인 +900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선물 외국인 +2,140계약 · 프로그램 차익 순매수 유입</w:t>
                  </w:r>
                </w:p>
              </w:tc>
            </w:tr>
          </w:tbl>
          <w:p/>
        </w:tc>
        <w:tc>
          <w:tcPr>
            <w:tcW w:type="dxa" w:w="5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center"/>
          </w:tcPr>
          <w:tbl>
            <w:tblPr>
              <w:tblW w:type="dxa" w:w="53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90"/>
            </w:tblGrid>
            <w:tr>
              <w:tc>
                <w:tcPr>
                  <w:tcW w:type="dxa" w:w="5390"/>
                  <w:tcBorders>
                    <w:top w:val="single" w:color="E2DBF2" w:sz="4"/>
                    <w:left w:val="single" w:color="E2DBF2" w:sz="4"/>
                    <w:bottom w:val="single" w:color="E2DBF2" w:sz="4"/>
                    <w:right w:val="single" w:color="E2DBF2" w:sz="4"/>
                  </w:tcBorders>
                  <w:shd w:fill="F5F3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D2864"/>
                      <w:sz w:val="16"/>
                      <w:szCs w:val="16"/>
                    </w:rPr>
                    <w:t xml:space="preserve">시장 폭 (Breadth)</w:t>
                  </w:r>
                </w:p>
              </w:tc>
            </w:tr>
            <w:tr>
              <w:tc>
                <w:tcPr>
                  <w:tcW w:type="dxa" w:w="5390"/>
                  <w:tcBorders>
                    <w:top w:val="single" w:color="E2DBF2" w:sz="4"/>
                    <w:left w:val="single" w:color="E2DBF2" w:sz="4"/>
                    <w:bottom w:val="single" w:color="E2DBF2" w:sz="4"/>
                    <w:right w:val="single" w:color="E2DBF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상승/하락 412 / 468 — 지수 상승에도 하락 우위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거래대금 KOSPI 12.4조 · KOSDAQ 7.1조 (20일 평균 대비 −8%)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신용잔고 20.8조 (전일 대비 −0.3조) — 코스닥 중심 청산</w:t>
                  </w:r>
                </w:p>
              </w:tc>
            </w:tr>
          </w:tbl>
          <w:p/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Ⅱ. 업종 동향 맵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박스 크기 = 시가총액 비중, 색 = 당일 등락률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gridSpan w:val="5"/>
            <w:vMerge w:val="restart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49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반도체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+2.41%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34.1%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자동차·부품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+0.18%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2"/>
                <w:szCs w:val="12"/>
              </w:rPr>
              <w:t xml:space="preserve">10.3%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5C87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2차전지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−1.54%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8.5%</w:t>
            </w:r>
          </w:p>
        </w:tc>
      </w:tr>
      <w:tr>
        <w:tc>
          <w:tcPr>
            <w:gridSpan w:val="5"/>
            <w:vMerge w:val="continue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</w:tcPr>
          <w:p/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5C87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제약·바이오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−1.83%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7.5%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은행·증권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+0.74%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2"/>
                <w:szCs w:val="12"/>
              </w:rPr>
              <w:t xml:space="preserve">6.8%</w:t>
            </w:r>
          </w:p>
        </w:tc>
      </w:tr>
      <w:tr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조선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+1.21%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2"/>
                <w:szCs w:val="12"/>
              </w:rPr>
              <w:t xml:space="preserve">5%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49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전력기기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+1.92%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4.5%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방산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+0.42%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2"/>
                <w:szCs w:val="12"/>
              </w:rPr>
              <w:t xml:space="preserve">4.2%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인터넷·게임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−0.31%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3.8%</w:t>
            </w:r>
          </w:p>
        </w:tc>
      </w:tr>
      <w:tr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화학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−0.62%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3.3%</w:t>
            </w:r>
          </w:p>
        </w:tc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통신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+0.09%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2"/>
                <w:szCs w:val="12"/>
              </w:rPr>
              <w:t xml:space="preserve">2.8%</w:t>
            </w:r>
          </w:p>
        </w:tc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철강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+0.21%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2"/>
                <w:szCs w:val="12"/>
              </w:rPr>
              <w:t xml:space="preserve">2.6%</w:t>
            </w:r>
          </w:p>
        </w:tc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화장품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−1.44%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2.4%</w:t>
            </w:r>
          </w:p>
        </w:tc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유통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−0.38%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2.2%</w:t>
            </w:r>
          </w:p>
        </w:tc>
        <w:tc>
          <w:tcPr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건설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+0.11%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2"/>
                <w:szCs w:val="12"/>
              </w:rPr>
              <w:t xml:space="preserve">2%</w:t>
            </w:r>
          </w:p>
        </w:tc>
      </w:tr>
    </w:tbl>
    <w:p>
      <w:pPr>
        <w:spacing w:before="60"/>
        <w:jc w:val="right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자료: KRX, 한양증권 인천프리미어지점 재구성</w:t>
      </w:r>
    </w:p>
    <w:p>
      <w:pPr>
        <w:spacing w:before="100"/>
      </w:pPr>
      <w:r>
        <w:rPr>
          <w:rFonts w:ascii="맑은 고딕" w:cs="맑은 고딕" w:eastAsia="맑은 고딕" w:hAnsi="맑은 고딕"/>
          <w:sz w:val="15"/>
          <w:szCs w:val="15"/>
        </w:rPr>
        <w:t xml:space="preserve">반도체 단일 업종이 코스피 시가총액의 3분의 1가량을 차지하는 만큼, 오늘도 반도체 강세가 지수 방향성을 사실상 결정했다. 전력기기·조선 등 수주 모멘텀이 살아있는 업종은 동반 강세를, 금리에 민감한 2차전지·제약바이오·화장품은 약세를 보이며 업종 간 명암이 뚜렷했다.</w:t>
      </w:r>
    </w:p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Ⅲ. 이슈 종목 — 왜 움직였고, 이어질 것인가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990"/>
        <w:gridCol w:w="4400"/>
        <w:gridCol w:w="990"/>
        <w:gridCol w:w="3080"/>
      </w:tblGrid>
      <w:tr>
        <w:tc>
          <w:tcPr>
            <w:tcW w:type="dxa" w:w="15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종목</w:t>
            </w:r>
          </w:p>
        </w:tc>
        <w:tc>
          <w:tcPr>
            <w:tcW w:type="dxa" w:w="99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등락률</w:t>
            </w:r>
          </w:p>
        </w:tc>
        <w:tc>
          <w:tcPr>
            <w:tcW w:type="dxa" w:w="44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움직인 이유</w:t>
            </w:r>
          </w:p>
        </w:tc>
        <w:tc>
          <w:tcPr>
            <w:tcW w:type="dxa" w:w="99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지속성</w:t>
            </w:r>
          </w:p>
        </w:tc>
        <w:tc>
          <w:tcPr>
            <w:tcW w:type="dxa" w:w="308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언제·무엇을 확인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SK하이닉스(000660)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6"/>
                <w:szCs w:val="16"/>
              </w:rPr>
              <w:t xml:space="preserve">▲ +4.12%</w:t>
            </w:r>
          </w:p>
        </w:tc>
        <w:tc>
          <w:tcPr>
            <w:tcW w:type="dxa" w:w="44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HBM4 4Q 공급 물량 확대 보도 + 외국인 순매수 1위(1,480억). 대규모 주주환원 기대까지 겹쳐 신고가 근접.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5"/>
                <w:szCs w:val="15"/>
              </w:rPr>
              <w:t xml:space="preserve">높음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8/27(목) 06:00 엔비디아 실적의 DC 매출·가이던스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LS ELECTRIC(010120)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6"/>
                <w:szCs w:val="16"/>
              </w:rPr>
              <w:t xml:space="preserve">▲ +5.86%</w:t>
            </w:r>
          </w:p>
        </w:tc>
        <w:tc>
          <w:tcPr>
            <w:tcW w:type="dxa" w:w="44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미국 데이터센터향 배전기기 연속 수주 + 증권가 수주가이던스 상향. 배전(단납기)·송전·직류 3단 구조 재평가.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5"/>
                <w:szCs w:val="15"/>
              </w:rPr>
              <w:t xml:space="preserve">높음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주중 미국 빅테크 CAPEX 코멘트, 9월 초 수주 공시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에코프로비엠(247540)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6"/>
                <w:szCs w:val="16"/>
              </w:rPr>
              <w:t xml:space="preserve">▼ −3.44%</w:t>
            </w:r>
          </w:p>
        </w:tc>
        <w:tc>
          <w:tcPr>
            <w:tcW w:type="dxa" w:w="44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미국 전기차 보조금 축소 재부각 + 금리 상승에 따른 성장주 멀티플 압박. 기관·외국인 동반 순매도.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5"/>
                <w:szCs w:val="15"/>
              </w:rPr>
              <w:t xml:space="preserve">약세 지속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8/28(금) 21:30 PCE 이후 금리 방향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알테오젠(196170)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6"/>
                <w:szCs w:val="16"/>
              </w:rPr>
              <w:t xml:space="preserve">▼ −5.20%</w:t>
            </w:r>
          </w:p>
        </w:tc>
        <w:tc>
          <w:tcPr>
            <w:tcW w:type="dxa" w:w="44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기술이전 마일스톤 지연 우려 + 코스닥 대차잔고 증가. 재료 소멸 구간에서 차익 매물 집중.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8F8A9E"/>
                <w:sz w:val="15"/>
                <w:szCs w:val="15"/>
              </w:rPr>
              <w:t xml:space="preserve">중립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9월 초 학회 발표 일정, 대차잔고 감소 여부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한화오션(042660)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6"/>
                <w:szCs w:val="16"/>
              </w:rPr>
              <w:t xml:space="preserve">▲ +2.35%</w:t>
            </w:r>
          </w:p>
        </w:tc>
        <w:tc>
          <w:tcPr>
            <w:tcW w:type="dxa" w:w="44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미 해군 MRO 추가 수주 기대 + LNG선 신조선가 반등. 조선 업종 동반 강세.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8F8A9E"/>
                <w:sz w:val="15"/>
                <w:szCs w:val="15"/>
              </w:rPr>
              <w:t xml:space="preserve">중립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매주 금요일 클락슨 신조선가지수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Ⅳ. 캘린더 — 언제, 무엇을, 왜 봐야 하나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시각은 한국시간 기준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3080"/>
        <w:gridCol w:w="1100"/>
        <w:gridCol w:w="5280"/>
      </w:tblGrid>
      <w:tr>
        <w:tc>
          <w:tcPr>
            <w:tcW w:type="dxa" w:w="15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일시</w:t>
            </w:r>
          </w:p>
        </w:tc>
        <w:tc>
          <w:tcPr>
            <w:tcW w:type="dxa" w:w="308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이벤트</w:t>
            </w:r>
          </w:p>
        </w:tc>
        <w:tc>
          <w:tcPr>
            <w:tcW w:type="dxa" w:w="11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중요도</w:t>
            </w:r>
          </w:p>
        </w:tc>
        <w:tc>
          <w:tcPr>
            <w:tcW w:type="dxa" w:w="528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체크포인트 / 영향 종목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8/25(화) 23:00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미 8월 소비자신뢰지수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★★☆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예상 98.5. 서프라이즈 시 금리 재상승 → 성장주 재차 압박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8/26(수) 09:00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8월 1~20일 수출 확정치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★★☆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반도체 수출 증가율. +20% 이상 유지 시 Top2 실적 상향 근거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8/27(목) 06:00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5"/>
                <w:szCs w:val="15"/>
              </w:rPr>
              <w:t xml:space="preserve">엔비디아 FY2Q 실적·가이던스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★★★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데이터센터 매출·다음 분기 가이던스. 컨센 하회 시 반도체·전력기기 동시 조정 → 당일 09:00 시초 대응 준비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8/28(금) 21:30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5"/>
                <w:szCs w:val="15"/>
              </w:rPr>
              <w:t xml:space="preserve">미 7월 PCE 물가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★★★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코어 예상 +0.2% MoM. 상회 시 9월 인하 기대 후퇴 → 바이오·2차전지 추가 이탈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8/28(금) 15:30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MSCI 8월 리밸런싱 반영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★★☆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종가 동시호가 변동성. 편출 종목 보유 고객 사전 안내 필요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9/1(화) 09:00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8월 수출입 잠정치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★★☆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9월 첫 방향 결정. 반도체·자동차 수출 단가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지점 대응 요약 — 이번 주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7"/>
        <w:gridCol w:w="3667"/>
        <w:gridCol w:w="3667"/>
      </w:tblGrid>
      <w:tr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유지</w:t>
            </w:r>
          </w:p>
        </w:tc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축소</w:t>
            </w:r>
          </w:p>
        </w:tc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현금·안내</w:t>
            </w:r>
          </w:p>
        </w:tc>
      </w:tr>
      <w:tr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반도체 Top2·전력기기 비중 유지. 신규 편입은 눌림목(5일선 지지 확인) 분할로만.</w:t>
            </w:r>
          </w:p>
        </w:tc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금리 민감 성장주(바이오·2차전지) 반등 시 비중 축소. PCE 확인 전 신규 진입 보류.</w:t>
            </w:r>
          </w:p>
        </w:tc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현금 10~15% 확보. 8/27 시초 변동성, 8/28 MSCI 동시호가는 고객 사전 안내.</w:t>
            </w:r>
          </w:p>
        </w:tc>
      </w:tr>
    </w:tbl>
    <w:p>
      <w:pPr>
        <w:spacing w:after="60" w:before="260"/>
      </w:pPr>
      <w:r>
        <w:rPr>
          <w:rFonts w:ascii="맑은 고딕" w:cs="맑은 고딕" w:eastAsia="맑은 고딕" w:hAnsi="맑은 고딕"/>
          <w:b/>
          <w:bCs/>
          <w:color w:val="1B1626"/>
          <w:sz w:val="16"/>
          <w:szCs w:val="16"/>
        </w:rPr>
        <w:t xml:space="preserve">Compliance Notice</w:t>
      </w:r>
    </w:p>
    <w:p>
      <w:pPr>
        <w:spacing w:after="20"/>
      </w:pPr>
      <w:r>
        <w:rPr>
          <w:rFonts w:ascii="맑은 고딕" w:cs="맑은 고딕" w:eastAsia="맑은 고딕" w:hAnsi="맑은 고딕"/>
          <w:color w:val="8F8A9E"/>
          <w:sz w:val="13"/>
          <w:szCs w:val="13"/>
        </w:rPr>
        <w:t xml:space="preserve">·  본 자료는 지점 내부 참고자료로, 제3자에게 사전 제공된 사실이 없습니다.</w:t>
      </w:r>
    </w:p>
    <w:p>
      <w:pPr>
        <w:spacing w:after="20"/>
      </w:pPr>
      <w:r>
        <w:rPr>
          <w:rFonts w:ascii="맑은 고딕" w:cs="맑은 고딕" w:eastAsia="맑은 고딕" w:hAnsi="맑은 고딕"/>
          <w:color w:val="8F8A9E"/>
          <w:sz w:val="13"/>
          <w:szCs w:val="13"/>
        </w:rPr>
        <w:t xml:space="preserve">·  작성자는 자료 작성일 현재 본 자료에 언급된 종목과 재산적 이해관계가 없습니다.</w:t>
      </w:r>
    </w:p>
    <w:p>
      <w:pPr>
        <w:spacing w:after="20"/>
      </w:pPr>
      <w:r>
        <w:rPr>
          <w:rFonts w:ascii="맑은 고딕" w:cs="맑은 고딕" w:eastAsia="맑은 고딕" w:hAnsi="맑은 고딕"/>
          <w:color w:val="8F8A9E"/>
          <w:sz w:val="13"/>
          <w:szCs w:val="13"/>
        </w:rPr>
        <w:t xml:space="preserve">·  본 자료의 수치는 언론 보도 및 시장 데이터를 정리한 것으로 당사 리서치센터의 공식 견해가 아니며, 정확성·완전성을 보장하지 않습니다.</w:t>
      </w:r>
    </w:p>
    <w:p>
      <w:pPr>
        <w:spacing w:before="160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작성·문의: 한양증권 인천프리미어지점 인턴 김형준 (010-5912-9992) · 투자 권유 목적이 아니며 투자판단의 책임은 투자자 본인에게 있습니다.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f90577f7f9106973815dc0b8beee6ec69c09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2026-08-24T11:11:34.993Z</dcterms:created>
  <dcterms:modified xsi:type="dcterms:W3CDTF">2026-08-24T11:11:34.993Z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