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11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500"/>
        <w:gridCol w:w="5500"/>
      </w:tblGrid>
      <w:tr>
        <w:tc>
          <w:tcPr>
            <w:tcW w:type="dxa" w:w="55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drawing>
                <wp:inline distT="0" distB="0" distL="0" distR="0">
                  <wp:extent cx="857250" cy="19050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57250" cy="1905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55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맑은 고딕" w:cs="맑은 고딕" w:eastAsia="맑은 고딕" w:hAnsi="맑은 고딕"/>
                <w:b/>
                <w:bCs/>
                <w:color w:val="58536A"/>
                <w:sz w:val="16"/>
                <w:szCs w:val="16"/>
              </w:rPr>
              <w:t xml:space="preserve">DAILY MARKET WRAP · 인천프리미어지점</w:t>
            </w:r>
          </w:p>
        </w:tc>
      </w:tr>
    </w:tbl>
    <w:p>
      <w:r>
        <w:rPr>
          <w:rFonts w:ascii="맑은 고딕" w:cs="맑은 고딕" w:eastAsia="맑은 고딕" w:hAnsi="맑은 고딕"/>
        </w:rPr>
        <w:t xml:space="preserve"/>
      </w:r>
    </w:p>
    <w:p>
      <w:pPr>
        <w:spacing w:after="120"/>
      </w:pPr>
      <w:r>
        <w:rPr>
          <w:rFonts w:ascii="맑은 고딕" w:cs="맑은 고딕" w:eastAsia="맑은 고딕" w:hAnsi="맑은 고딕"/>
          <w:b/>
          <w:bCs/>
          <w:color w:val="FFFFFF"/>
          <w:sz w:val="16"/>
          <w:szCs w:val="16"/>
          <w:shd w:fill="2D2864" w:color="auto" w:val="clear"/>
        </w:rPr>
        <w:t xml:space="preserve">  시장 마감 브리프  </w:t>
      </w:r>
    </w:p>
    <w:tbl>
      <w:tblPr>
        <w:tblW w:type="dxa" w:w="11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480"/>
        <w:gridCol w:w="3520"/>
      </w:tblGrid>
      <w:tr>
        <w:tc>
          <w:tcPr>
            <w:tcW w:type="dxa" w:w="74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60"/>
            </w:pPr>
            <w:r>
              <w:rPr>
                <w:rFonts w:ascii="맑은 고딕" w:cs="맑은 고딕" w:eastAsia="맑은 고딕" w:hAnsi="맑은 고딕"/>
                <w:b/>
                <w:bCs/>
                <w:color w:val="1B1626"/>
                <w:sz w:val="30"/>
                <w:szCs w:val="30"/>
              </w:rPr>
              <w:t xml:space="preserve">삼성전자·SK하이닉스 동반 급락, 코스피 6700선 붕괴</w:t>
            </w:r>
          </w:p>
          <w:p>
            <w:r>
              <w:rPr>
                <w:rFonts w:ascii="맑은 고딕" w:cs="맑은 고딕" w:eastAsia="맑은 고딕" w:hAnsi="맑은 고딕"/>
                <w:color w:val="58536A"/>
                <w:sz w:val="20"/>
                <w:szCs w:val="20"/>
              </w:rPr>
              <w:t xml:space="preserve">美 국채금리 급등·반도체 투심 위축 속 코스닥은 2차전지·바이오가 방어</w:t>
            </w:r>
          </w:p>
        </w:tc>
        <w:tc>
          <w:tcPr>
            <w:tcW w:type="dxa" w:w="3520"/>
            <w:tcBorders>
              <w:top w:val="single" w:color="E2DBF2" w:sz="6"/>
              <w:left w:val="single" w:color="E2DBF2" w:sz="6"/>
              <w:bottom w:val="single" w:color="E2DBF2" w:sz="6"/>
              <w:right w:val="single" w:color="E2DBF2" w:sz="6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맑은 고딕" w:cs="맑은 고딕" w:eastAsia="맑은 고딕" w:hAnsi="맑은 고딕"/>
                <w:b/>
                <w:bCs/>
                <w:color w:val="2D2864"/>
                <w:sz w:val="17"/>
                <w:szCs w:val="17"/>
              </w:rPr>
              <w:t xml:space="preserve">인천프리미어지점 인턴</w:t>
            </w:r>
          </w:p>
          <w:p>
            <w:r>
              <w:rPr>
                <w:rFonts w:ascii="맑은 고딕" w:cs="맑은 고딕" w:eastAsia="맑은 고딕" w:hAnsi="맑은 고딕"/>
                <w:b/>
                <w:bCs/>
                <w:color w:val="1B1626"/>
                <w:sz w:val="16"/>
                <w:szCs w:val="16"/>
              </w:rPr>
              <w:t xml:space="preserve">김형준</w:t>
            </w:r>
          </w:p>
          <w:p>
            <w:r>
              <w:rPr>
                <w:rFonts w:ascii="맑은 고딕" w:cs="맑은 고딕" w:eastAsia="맑은 고딕" w:hAnsi="맑은 고딕"/>
                <w:color w:val="58536A"/>
                <w:sz w:val="16"/>
                <w:szCs w:val="16"/>
              </w:rPr>
              <w:t xml:space="preserve">khj1227@hygood.co.kr</w:t>
            </w:r>
          </w:p>
        </w:tc>
      </w:tr>
    </w:tbl>
    <w:p>
      <w:pPr>
        <w:spacing w:after="120" w:before="260"/>
      </w:pPr>
      <w:r>
        <w:rPr>
          <w:rFonts w:ascii="맑은 고딕" w:cs="맑은 고딕" w:eastAsia="맑은 고딕" w:hAnsi="맑은 고딕"/>
          <w:b/>
          <w:bCs/>
          <w:color w:val="1B1626"/>
          <w:sz w:val="22"/>
          <w:szCs w:val="22"/>
        </w:rPr>
        <w:t xml:space="preserve">Ⅰ. 지수 · 시장 지표</w:t>
      </w:r>
      <w:r>
        <w:rPr>
          <w:rFonts w:ascii="맑은 고딕" w:cs="맑은 고딕" w:eastAsia="맑은 고딕" w:hAnsi="맑은 고딕"/>
          <w:color w:val="8F8A9E"/>
          <w:sz w:val="15"/>
          <w:szCs w:val="15"/>
        </w:rPr>
        <w:t xml:space="preserve">   국내 지수·환율은 8/24 종가(한국거래소) · 금·유가는 8/24 장중 시세</w:t>
      </w:r>
    </w:p>
    <w:tbl>
      <w:tblPr>
        <w:tblW w:type="dxa" w:w="11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40"/>
        <w:gridCol w:w="1760"/>
        <w:gridCol w:w="1430"/>
        <w:gridCol w:w="1430"/>
        <w:gridCol w:w="4840"/>
      </w:tblGrid>
      <w:tr>
        <w:tc>
          <w:tcPr>
            <w:tcW w:type="dxa" w:w="1540"/>
            <w:tcBorders>
              <w:top w:val="single" w:color="2D2864" w:sz="4"/>
              <w:left w:val="single" w:color="2D2864" w:sz="4"/>
              <w:bottom w:val="single" w:color="2D2864" w:sz="4"/>
              <w:right w:val="single" w:color="2D2864" w:sz="4"/>
            </w:tcBorders>
            <w:shd w:fill="2D2864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6"/>
                <w:szCs w:val="16"/>
              </w:rPr>
              <w:t xml:space="preserve">구분</w:t>
            </w:r>
          </w:p>
        </w:tc>
        <w:tc>
          <w:tcPr>
            <w:tcW w:type="dxa" w:w="1760"/>
            <w:tcBorders>
              <w:top w:val="single" w:color="2D2864" w:sz="4"/>
              <w:left w:val="single" w:color="2D2864" w:sz="4"/>
              <w:bottom w:val="single" w:color="2D2864" w:sz="4"/>
              <w:right w:val="single" w:color="2D2864" w:sz="4"/>
            </w:tcBorders>
            <w:shd w:fill="2D2864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6"/>
                <w:szCs w:val="16"/>
              </w:rPr>
              <w:t xml:space="preserve">종가</w:t>
            </w:r>
          </w:p>
        </w:tc>
        <w:tc>
          <w:tcPr>
            <w:tcW w:type="dxa" w:w="1430"/>
            <w:tcBorders>
              <w:top w:val="single" w:color="2D2864" w:sz="4"/>
              <w:left w:val="single" w:color="2D2864" w:sz="4"/>
              <w:bottom w:val="single" w:color="2D2864" w:sz="4"/>
              <w:right w:val="single" w:color="2D2864" w:sz="4"/>
            </w:tcBorders>
            <w:shd w:fill="2D2864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6"/>
                <w:szCs w:val="16"/>
              </w:rPr>
              <w:t xml:space="preserve">전일비</w:t>
            </w:r>
          </w:p>
        </w:tc>
        <w:tc>
          <w:tcPr>
            <w:tcW w:type="dxa" w:w="1430"/>
            <w:tcBorders>
              <w:top w:val="single" w:color="2D2864" w:sz="4"/>
              <w:left w:val="single" w:color="2D2864" w:sz="4"/>
              <w:bottom w:val="single" w:color="2D2864" w:sz="4"/>
              <w:right w:val="single" w:color="2D2864" w:sz="4"/>
            </w:tcBorders>
            <w:shd w:fill="2D2864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6"/>
                <w:szCs w:val="16"/>
              </w:rPr>
              <w:t xml:space="preserve">등락률</w:t>
            </w:r>
          </w:p>
        </w:tc>
        <w:tc>
          <w:tcPr>
            <w:tcW w:type="dxa" w:w="4840"/>
            <w:tcBorders>
              <w:top w:val="single" w:color="2D2864" w:sz="4"/>
              <w:left w:val="single" w:color="2D2864" w:sz="4"/>
              <w:bottom w:val="single" w:color="2D2864" w:sz="4"/>
              <w:right w:val="single" w:color="2D2864" w:sz="4"/>
            </w:tcBorders>
            <w:shd w:fill="2D2864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6"/>
                <w:szCs w:val="16"/>
              </w:rPr>
              <w:t xml:space="preserve">해석</w:t>
            </w:r>
          </w:p>
        </w:tc>
      </w:tr>
      <w:tr>
        <w:tc>
          <w:tcPr>
            <w:tcW w:type="dxa" w:w="1540"/>
            <w:tcBorders>
              <w:top w:val="single" w:color="E2DBF2" w:sz="4"/>
              <w:left w:val="single" w:color="E2DBF2" w:sz="4"/>
              <w:bottom w:val="single" w:color="E2DBF2" w:sz="4"/>
              <w:right w:val="single" w:color="E2DBF2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/>
                <w:bCs/>
                <w:sz w:val="17"/>
                <w:szCs w:val="17"/>
              </w:rPr>
              <w:t xml:space="preserve">KOSPI</w:t>
            </w:r>
          </w:p>
        </w:tc>
        <w:tc>
          <w:tcPr>
            <w:tcW w:type="dxa" w:w="1760"/>
            <w:tcBorders>
              <w:top w:val="single" w:color="E2DBF2" w:sz="4"/>
              <w:left w:val="single" w:color="E2DBF2" w:sz="4"/>
              <w:bottom w:val="single" w:color="E2DBF2" w:sz="4"/>
              <w:right w:val="single" w:color="E2DBF2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>6,696.96</w:t>
            </w:r>
          </w:p>
        </w:tc>
        <w:tc>
          <w:tcPr>
            <w:tcW w:type="dxa" w:w="1430"/>
            <w:tcBorders>
              <w:top w:val="single" w:color="E2DBF2" w:sz="4"/>
              <w:left w:val="single" w:color="E2DBF2" w:sz="4"/>
              <w:bottom w:val="single" w:color="E2DBF2" w:sz="4"/>
              <w:right w:val="single" w:color="E2DBF2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맑은 고딕" w:cs="맑은 고딕" w:eastAsia="맑은 고딕" w:hAnsi="맑은 고딕"/>
                <w:b/>
                <w:bCs/>
                <w:color w:val="1D4ED8"/>
                <w:sz w:val="17"/>
                <w:szCs w:val="17"/>
              </w:rPr>
              <w:t xml:space="preserve">−215.99</w:t>
            </w:r>
          </w:p>
        </w:tc>
        <w:tc>
          <w:tcPr>
            <w:tcW w:type="dxa" w:w="1430"/>
            <w:tcBorders>
              <w:top w:val="single" w:color="E2DBF2" w:sz="4"/>
              <w:left w:val="single" w:color="E2DBF2" w:sz="4"/>
              <w:bottom w:val="single" w:color="E2DBF2" w:sz="4"/>
              <w:right w:val="single" w:color="E2DBF2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맑은 고딕" w:cs="맑은 고딕" w:eastAsia="맑은 고딕" w:hAnsi="맑은 고딕"/>
                <w:b/>
                <w:bCs/>
                <w:color w:val="1D4ED8"/>
                <w:sz w:val="17"/>
                <w:szCs w:val="17"/>
              </w:rPr>
              <w:t xml:space="preserve">−3.12%</w:t>
            </w:r>
          </w:p>
        </w:tc>
        <w:tc>
          <w:tcPr>
            <w:tcW w:type="dxa" w:w="4840"/>
            <w:tcBorders>
              <w:top w:val="single" w:color="E2DBF2" w:sz="4"/>
              <w:left w:val="single" w:color="E2DBF2" w:sz="4"/>
              <w:bottom w:val="single" w:color="E2DBF2" w:sz="4"/>
              <w:right w:val="single" w:color="E2DBF2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color w:val="58536A"/>
                <w:sz w:val="15"/>
                <w:szCs w:val="15"/>
              </w:rPr>
              <w:t xml:space="preserve">美 장기 국채금리 급등(30년물 장중 5.33%, 2007년 이후 최고)과 관세 전쟁 격화 속 삼성전자·SK하이닉스 등 대형 반도체·금융주 동반 급락.</w:t>
            </w:r>
          </w:p>
        </w:tc>
      </w:tr>
      <w:tr>
        <w:tc>
          <w:tcPr>
            <w:tcW w:type="dxa" w:w="1540"/>
            <w:tcBorders>
              <w:top w:val="single" w:color="E2DBF2" w:sz="4"/>
              <w:left w:val="single" w:color="E2DBF2" w:sz="4"/>
              <w:bottom w:val="single" w:color="E2DBF2" w:sz="4"/>
              <w:right w:val="single" w:color="E2DBF2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/>
                <w:bCs/>
                <w:sz w:val="17"/>
                <w:szCs w:val="17"/>
              </w:rPr>
              <w:t xml:space="preserve">KOSDAQ</w:t>
            </w:r>
          </w:p>
        </w:tc>
        <w:tc>
          <w:tcPr>
            <w:tcW w:type="dxa" w:w="1760"/>
            <w:tcBorders>
              <w:top w:val="single" w:color="E2DBF2" w:sz="4"/>
              <w:left w:val="single" w:color="E2DBF2" w:sz="4"/>
              <w:bottom w:val="single" w:color="E2DBF2" w:sz="4"/>
              <w:right w:val="single" w:color="E2DBF2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>813.33</w:t>
            </w:r>
          </w:p>
        </w:tc>
        <w:tc>
          <w:tcPr>
            <w:tcW w:type="dxa" w:w="1430"/>
            <w:tcBorders>
              <w:top w:val="single" w:color="E2DBF2" w:sz="4"/>
              <w:left w:val="single" w:color="E2DBF2" w:sz="4"/>
              <w:bottom w:val="single" w:color="E2DBF2" w:sz="4"/>
              <w:right w:val="single" w:color="E2DBF2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맑은 고딕" w:cs="맑은 고딕" w:eastAsia="맑은 고딕" w:hAnsi="맑은 고딕"/>
                <w:b/>
                <w:bCs/>
                <w:color w:val="D6273C"/>
                <w:sz w:val="17"/>
                <w:szCs w:val="17"/>
              </w:rPr>
              <w:t xml:space="preserve">+11.39</w:t>
            </w:r>
          </w:p>
        </w:tc>
        <w:tc>
          <w:tcPr>
            <w:tcW w:type="dxa" w:w="1430"/>
            <w:tcBorders>
              <w:top w:val="single" w:color="E2DBF2" w:sz="4"/>
              <w:left w:val="single" w:color="E2DBF2" w:sz="4"/>
              <w:bottom w:val="single" w:color="E2DBF2" w:sz="4"/>
              <w:right w:val="single" w:color="E2DBF2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맑은 고딕" w:cs="맑은 고딕" w:eastAsia="맑은 고딕" w:hAnsi="맑은 고딕"/>
                <w:b/>
                <w:bCs/>
                <w:color w:val="D6273C"/>
                <w:sz w:val="17"/>
                <w:szCs w:val="17"/>
              </w:rPr>
              <w:t xml:space="preserve">+1.42%</w:t>
            </w:r>
          </w:p>
        </w:tc>
        <w:tc>
          <w:tcPr>
            <w:tcW w:type="dxa" w:w="4840"/>
            <w:tcBorders>
              <w:top w:val="single" w:color="E2DBF2" w:sz="4"/>
              <w:left w:val="single" w:color="E2DBF2" w:sz="4"/>
              <w:bottom w:val="single" w:color="E2DBF2" w:sz="4"/>
              <w:right w:val="single" w:color="E2DBF2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color w:val="58536A"/>
                <w:sz w:val="15"/>
                <w:szCs w:val="15"/>
              </w:rPr>
              <w:t xml:space="preserve">2차전지(에코프로비엠·엘앤에프 등)와 제약·바이오(한미약품 상한가 등) 강세에 코스피와 반대로 상승 마감.</w:t>
            </w:r>
          </w:p>
        </w:tc>
      </w:tr>
      <w:tr>
        <w:tc>
          <w:tcPr>
            <w:tcW w:type="dxa" w:w="1540"/>
            <w:tcBorders>
              <w:top w:val="single" w:color="E2DBF2" w:sz="4"/>
              <w:left w:val="single" w:color="E2DBF2" w:sz="4"/>
              <w:bottom w:val="single" w:color="E2DBF2" w:sz="4"/>
              <w:right w:val="single" w:color="E2DBF2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/>
                <w:bCs/>
                <w:sz w:val="17"/>
                <w:szCs w:val="17"/>
              </w:rPr>
              <w:t xml:space="preserve">원/달러 환율</w:t>
            </w:r>
          </w:p>
        </w:tc>
        <w:tc>
          <w:tcPr>
            <w:tcW w:type="dxa" w:w="1760"/>
            <w:tcBorders>
              <w:top w:val="single" w:color="E2DBF2" w:sz="4"/>
              <w:left w:val="single" w:color="E2DBF2" w:sz="4"/>
              <w:bottom w:val="single" w:color="E2DBF2" w:sz="4"/>
              <w:right w:val="single" w:color="E2DBF2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>1,382.4</w:t>
            </w:r>
          </w:p>
        </w:tc>
        <w:tc>
          <w:tcPr>
            <w:tcW w:type="dxa" w:w="1430"/>
            <w:tcBorders>
              <w:top w:val="single" w:color="E2DBF2" w:sz="4"/>
              <w:left w:val="single" w:color="E2DBF2" w:sz="4"/>
              <w:bottom w:val="single" w:color="E2DBF2" w:sz="4"/>
              <w:right w:val="single" w:color="E2DBF2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맑은 고딕" w:cs="맑은 고딕" w:eastAsia="맑은 고딕" w:hAnsi="맑은 고딕"/>
                <w:b/>
                <w:bCs/>
                <w:color w:val="1D4ED8"/>
                <w:sz w:val="17"/>
                <w:szCs w:val="17"/>
              </w:rPr>
              <w:t xml:space="preserve">−4.1</w:t>
            </w:r>
          </w:p>
        </w:tc>
        <w:tc>
          <w:tcPr>
            <w:tcW w:type="dxa" w:w="1430"/>
            <w:tcBorders>
              <w:top w:val="single" w:color="E2DBF2" w:sz="4"/>
              <w:left w:val="single" w:color="E2DBF2" w:sz="4"/>
              <w:bottom w:val="single" w:color="E2DBF2" w:sz="4"/>
              <w:right w:val="single" w:color="E2DBF2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맑은 고딕" w:cs="맑은 고딕" w:eastAsia="맑은 고딕" w:hAnsi="맑은 고딕"/>
                <w:b/>
                <w:bCs/>
                <w:color w:val="1D4ED8"/>
                <w:sz w:val="17"/>
                <w:szCs w:val="17"/>
              </w:rPr>
              <w:t xml:space="preserve">−0.30%</w:t>
            </w:r>
          </w:p>
        </w:tc>
        <w:tc>
          <w:tcPr>
            <w:tcW w:type="dxa" w:w="4840"/>
            <w:tcBorders>
              <w:top w:val="single" w:color="E2DBF2" w:sz="4"/>
              <w:left w:val="single" w:color="E2DBF2" w:sz="4"/>
              <w:bottom w:val="single" w:color="E2DBF2" w:sz="4"/>
              <w:right w:val="single" w:color="E2DBF2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color w:val="58536A"/>
                <w:sz w:val="15"/>
                <w:szCs w:val="15"/>
              </w:rPr>
              <w:t xml:space="preserve">국내 증시 급락에도 환율은 소폭 하락 마감 — 전일 같은 시각 대비 4.1원 내림.</w:t>
            </w:r>
          </w:p>
        </w:tc>
      </w:tr>
      <w:tr>
        <w:tc>
          <w:tcPr>
            <w:tcW w:type="dxa" w:w="1540"/>
            <w:tcBorders>
              <w:top w:val="single" w:color="E2DBF2" w:sz="4"/>
              <w:left w:val="single" w:color="E2DBF2" w:sz="4"/>
              <w:bottom w:val="single" w:color="E2DBF2" w:sz="4"/>
              <w:right w:val="single" w:color="E2DBF2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/>
                <w:bCs/>
                <w:sz w:val="17"/>
                <w:szCs w:val="17"/>
              </w:rPr>
              <w:t xml:space="preserve">국제 금 (현물)</w:t>
            </w:r>
          </w:p>
        </w:tc>
        <w:tc>
          <w:tcPr>
            <w:tcW w:type="dxa" w:w="1760"/>
            <w:tcBorders>
              <w:top w:val="single" w:color="E2DBF2" w:sz="4"/>
              <w:left w:val="single" w:color="E2DBF2" w:sz="4"/>
              <w:bottom w:val="single" w:color="E2DBF2" w:sz="4"/>
              <w:right w:val="single" w:color="E2DBF2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>4,636.4</w:t>
            </w:r>
          </w:p>
        </w:tc>
        <w:tc>
          <w:tcPr>
            <w:tcW w:type="dxa" w:w="1430"/>
            <w:tcBorders>
              <w:top w:val="single" w:color="E2DBF2" w:sz="4"/>
              <w:left w:val="single" w:color="E2DBF2" w:sz="4"/>
              <w:bottom w:val="single" w:color="E2DBF2" w:sz="4"/>
              <w:right w:val="single" w:color="E2DBF2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맑은 고딕" w:cs="맑은 고딕" w:eastAsia="맑은 고딕" w:hAnsi="맑은 고딕"/>
                <w:b/>
                <w:bCs/>
                <w:color w:val="D6273C"/>
                <w:sz w:val="17"/>
                <w:szCs w:val="17"/>
              </w:rPr>
              <w:t xml:space="preserve">+34.05</w:t>
            </w:r>
          </w:p>
        </w:tc>
        <w:tc>
          <w:tcPr>
            <w:tcW w:type="dxa" w:w="1430"/>
            <w:tcBorders>
              <w:top w:val="single" w:color="E2DBF2" w:sz="4"/>
              <w:left w:val="single" w:color="E2DBF2" w:sz="4"/>
              <w:bottom w:val="single" w:color="E2DBF2" w:sz="4"/>
              <w:right w:val="single" w:color="E2DBF2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맑은 고딕" w:cs="맑은 고딕" w:eastAsia="맑은 고딕" w:hAnsi="맑은 고딕"/>
                <w:b/>
                <w:bCs/>
                <w:color w:val="D6273C"/>
                <w:sz w:val="17"/>
                <w:szCs w:val="17"/>
              </w:rPr>
              <w:t xml:space="preserve">+0.74%</w:t>
            </w:r>
          </w:p>
        </w:tc>
        <w:tc>
          <w:tcPr>
            <w:tcW w:type="dxa" w:w="4840"/>
            <w:tcBorders>
              <w:top w:val="single" w:color="E2DBF2" w:sz="4"/>
              <w:left w:val="single" w:color="E2DBF2" w:sz="4"/>
              <w:bottom w:val="single" w:color="E2DBF2" w:sz="4"/>
              <w:right w:val="single" w:color="E2DBF2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color w:val="58536A"/>
                <w:sz w:val="15"/>
                <w:szCs w:val="15"/>
              </w:rPr>
              <w:t xml:space="preserve">美 국채금리 급등에 따른 안전자산 선호와 달러 약세가 겹치며 온스당 4,600달러 위에서 3개월래 최고 수준까지 상승.</w:t>
            </w:r>
          </w:p>
        </w:tc>
      </w:tr>
      <w:tr>
        <w:tc>
          <w:tcPr>
            <w:tcW w:type="dxa" w:w="1540"/>
            <w:tcBorders>
              <w:top w:val="single" w:color="E2DBF2" w:sz="4"/>
              <w:left w:val="single" w:color="E2DBF2" w:sz="4"/>
              <w:bottom w:val="single" w:color="E2DBF2" w:sz="4"/>
              <w:right w:val="single" w:color="E2DBF2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/>
                <w:bCs/>
                <w:sz w:val="17"/>
                <w:szCs w:val="17"/>
              </w:rPr>
              <w:t xml:space="preserve">WTI 원유</w:t>
            </w:r>
          </w:p>
        </w:tc>
        <w:tc>
          <w:tcPr>
            <w:tcW w:type="dxa" w:w="1760"/>
            <w:tcBorders>
              <w:top w:val="single" w:color="E2DBF2" w:sz="4"/>
              <w:left w:val="single" w:color="E2DBF2" w:sz="4"/>
              <w:bottom w:val="single" w:color="E2DBF2" w:sz="4"/>
              <w:right w:val="single" w:color="E2DBF2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>-</w:t>
            </w:r>
          </w:p>
        </w:tc>
        <w:tc>
          <w:tcPr>
            <w:tcW w:type="dxa" w:w="1430"/>
            <w:tcBorders>
              <w:top w:val="single" w:color="E2DBF2" w:sz="4"/>
              <w:left w:val="single" w:color="E2DBF2" w:sz="4"/>
              <w:bottom w:val="single" w:color="E2DBF2" w:sz="4"/>
              <w:right w:val="single" w:color="E2DBF2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맑은 고딕" w:cs="맑은 고딕" w:eastAsia="맑은 고딕" w:hAnsi="맑은 고딕"/>
                <w:b/>
                <w:bCs/>
                <w:color w:val="1B1626"/>
                <w:sz w:val="17"/>
                <w:szCs w:val="17"/>
              </w:rPr>
              <w:t xml:space="preserve">-</w:t>
            </w:r>
          </w:p>
        </w:tc>
        <w:tc>
          <w:tcPr>
            <w:tcW w:type="dxa" w:w="1430"/>
            <w:tcBorders>
              <w:top w:val="single" w:color="E2DBF2" w:sz="4"/>
              <w:left w:val="single" w:color="E2DBF2" w:sz="4"/>
              <w:bottom w:val="single" w:color="E2DBF2" w:sz="4"/>
              <w:right w:val="single" w:color="E2DBF2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맑은 고딕" w:cs="맑은 고딕" w:eastAsia="맑은 고딕" w:hAnsi="맑은 고딕"/>
                <w:b/>
                <w:bCs/>
                <w:color w:val="1B1626"/>
                <w:sz w:val="17"/>
                <w:szCs w:val="17"/>
              </w:rPr>
              <w:t xml:space="preserve">-</w:t>
            </w:r>
          </w:p>
        </w:tc>
        <w:tc>
          <w:tcPr>
            <w:tcW w:type="dxa" w:w="4840"/>
            <w:tcBorders>
              <w:top w:val="single" w:color="E2DBF2" w:sz="4"/>
              <w:left w:val="single" w:color="E2DBF2" w:sz="4"/>
              <w:bottom w:val="single" w:color="E2DBF2" w:sz="4"/>
              <w:right w:val="single" w:color="E2DBF2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color w:val="58536A"/>
                <w:sz w:val="15"/>
                <w:szCs w:val="15"/>
              </w:rPr>
              <w:t xml:space="preserve">호르무즈 해협 선박 피격 관련 지정학적 리스크로 유가 상승 압력이 있었다는 보도는 있으나, 8/24 정확한 종가는 이 환경에서 확인하지 못함 — '-'로 남김.</w:t>
            </w:r>
          </w:p>
        </w:tc>
      </w:tr>
    </w:tbl>
    <w:p>
      <w:pPr>
        <w:spacing w:after="120" w:before="260"/>
      </w:pPr>
      <w:r>
        <w:rPr>
          <w:rFonts w:ascii="맑은 고딕" w:cs="맑은 고딕" w:eastAsia="맑은 고딕" w:hAnsi="맑은 고딕"/>
          <w:b/>
          <w:bCs/>
          <w:color w:val="1B1626"/>
          <w:sz w:val="22"/>
          <w:szCs w:val="22"/>
        </w:rPr>
        <w:t xml:space="preserve">Ⅱ. 업종 동향 맵</w:t>
      </w:r>
      <w:r>
        <w:rPr>
          <w:rFonts w:ascii="맑은 고딕" w:cs="맑은 고딕" w:eastAsia="맑은 고딕" w:hAnsi="맑은 고딕"/>
          <w:color w:val="8F8A9E"/>
          <w:sz w:val="15"/>
          <w:szCs w:val="15"/>
        </w:rPr>
        <w:t xml:space="preserve">   박스 크기 = 업종 시가총액 비중, 색·수치 = 해당 업종 대표종목 등락률 (8/24 종가 기준)</w:t>
      </w:r>
    </w:p>
    <w:tbl>
      <w:tblPr>
        <w:tblW w:type="dxa" w:w="11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17"/>
        <w:gridCol w:w="917"/>
        <w:gridCol w:w="917"/>
        <w:gridCol w:w="917"/>
        <w:gridCol w:w="917"/>
        <w:gridCol w:w="917"/>
        <w:gridCol w:w="917"/>
        <w:gridCol w:w="917"/>
        <w:gridCol w:w="917"/>
        <w:gridCol w:w="917"/>
        <w:gridCol w:w="917"/>
        <w:gridCol w:w="917"/>
      </w:tblGrid>
      <w:tr>
        <w:tc>
          <w:tcPr>
            <w:gridSpan w:val="3"/>
            <w:tcBorders>
              <w:top w:val="single" w:color="FFFFFF" w:sz="8"/>
              <w:left w:val="single" w:color="FFFFFF" w:sz="8"/>
              <w:bottom w:val="single" w:color="FFFFFF" w:sz="8"/>
              <w:right w:val="single" w:color="FFFFFF" w:sz="8"/>
            </w:tcBorders>
            <w:shd w:fill="1D4ED8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6"/>
                <w:szCs w:val="16"/>
              </w:rPr>
              <w:t xml:space="preserve">반도체</w:t>
            </w:r>
          </w:p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7"/>
                <w:szCs w:val="17"/>
              </w:rPr>
              <w:t xml:space="preserve">−8.70%</w:t>
            </w:r>
          </w:p>
          <w:p>
            <w:pPr>
              <w:jc w:val="center"/>
            </w:pPr>
            <w:r>
              <w:rPr>
                <w:rFonts w:ascii="맑은 고딕" w:cs="맑은 고딕" w:eastAsia="맑은 고딕" w:hAnsi="맑은 고딕"/>
                <w:color w:val="FFFFFF"/>
                <w:sz w:val="11"/>
                <w:szCs w:val="11"/>
              </w:rPr>
              <w:t xml:space="preserve">삼성전자 25.7만원(−8.70%) · SK하이닉스 167.1만원(−3.41%) — 동반 약세가 지수 하락 주도</w:t>
            </w:r>
          </w:p>
        </w:tc>
        <w:tc>
          <w:tcPr>
            <w:gridSpan w:val="3"/>
            <w:tcBorders>
              <w:top w:val="single" w:color="FFFFFF" w:sz="8"/>
              <w:left w:val="single" w:color="FFFFFF" w:sz="8"/>
              <w:bottom w:val="single" w:color="FFFFFF" w:sz="8"/>
              <w:right w:val="single" w:color="FFFFFF" w:sz="8"/>
            </w:tcBorders>
            <w:shd w:fill="C81E2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6"/>
                <w:szCs w:val="16"/>
              </w:rPr>
              <w:t xml:space="preserve">2차전지</w:t>
            </w:r>
          </w:p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7"/>
                <w:szCs w:val="17"/>
              </w:rPr>
              <w:t xml:space="preserve">+10.80%</w:t>
            </w:r>
          </w:p>
          <w:p>
            <w:pPr>
              <w:jc w:val="center"/>
            </w:pPr>
            <w:r>
              <w:rPr>
                <w:rFonts w:ascii="맑은 고딕" w:cs="맑은 고딕" w:eastAsia="맑은 고딕" w:hAnsi="맑은 고딕"/>
                <w:color w:val="FFFFFF"/>
                <w:sz w:val="11"/>
                <w:szCs w:val="11"/>
              </w:rPr>
              <w:t xml:space="preserve">에코프로비엠 11.7만원(+10.80%) · 에코프로 8.79만원(+7.59%)</w:t>
            </w:r>
          </w:p>
        </w:tc>
        <w:tc>
          <w:tcPr>
            <w:gridSpan w:val="3"/>
            <w:tcBorders>
              <w:top w:val="single" w:color="FFFFFF" w:sz="8"/>
              <w:left w:val="single" w:color="FFFFFF" w:sz="8"/>
              <w:bottom w:val="single" w:color="FFFFFF" w:sz="8"/>
              <w:right w:val="single" w:color="FFFFFF" w:sz="8"/>
            </w:tcBorders>
            <w:shd w:fill="C81E2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6"/>
                <w:szCs w:val="16"/>
              </w:rPr>
              <w:t xml:space="preserve">2차전지 소재</w:t>
            </w:r>
          </w:p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7"/>
                <w:szCs w:val="17"/>
              </w:rPr>
              <w:t xml:space="preserve">+16.36%</w:t>
            </w:r>
          </w:p>
          <w:p>
            <w:pPr>
              <w:jc w:val="center"/>
            </w:pPr>
            <w:r>
              <w:rPr>
                <w:rFonts w:ascii="맑은 고딕" w:cs="맑은 고딕" w:eastAsia="맑은 고딕" w:hAnsi="맑은 고딕"/>
                <w:color w:val="FFFFFF"/>
                <w:sz w:val="11"/>
                <w:szCs w:val="11"/>
              </w:rPr>
              <w:t xml:space="preserve">엘앤에프 12.16만원(+16.36%) · 포스코퓨처엠 17.09만원(+10.33%)</w:t>
            </w:r>
          </w:p>
        </w:tc>
        <w:tc>
          <w:tcPr>
            <w:gridSpan w:val="3"/>
            <w:tcBorders>
              <w:top w:val="single" w:color="FFFFFF" w:sz="8"/>
              <w:left w:val="single" w:color="FFFFFF" w:sz="8"/>
              <w:bottom w:val="single" w:color="FFFFFF" w:sz="8"/>
              <w:right w:val="single" w:color="FFFFFF" w:sz="8"/>
            </w:tcBorders>
            <w:shd w:fill="C81E2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6"/>
                <w:szCs w:val="16"/>
              </w:rPr>
              <w:t xml:space="preserve">제약·바이오</w:t>
            </w:r>
          </w:p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7"/>
                <w:szCs w:val="17"/>
              </w:rPr>
              <w:t xml:space="preserve">+29.96%</w:t>
            </w:r>
          </w:p>
          <w:p>
            <w:pPr>
              <w:jc w:val="center"/>
            </w:pPr>
            <w:r>
              <w:rPr>
                <w:rFonts w:ascii="맑은 고딕" w:cs="맑은 고딕" w:eastAsia="맑은 고딕" w:hAnsi="맑은 고딕"/>
                <w:color w:val="FFFFFF"/>
                <w:sz w:val="11"/>
                <w:szCs w:val="11"/>
              </w:rPr>
              <w:t xml:space="preserve">한미약품 54.0만원(상한가) · 한미사이언스 5.65만원(+25.70%)</w:t>
            </w:r>
          </w:p>
        </w:tc>
      </w:tr>
    </w:tbl>
    <w:p>
      <w:pPr>
        <w:spacing w:before="60"/>
        <w:jc w:val="right"/>
      </w:pPr>
      <w:r>
        <w:rPr>
          <w:rFonts w:ascii="맑은 고딕" w:cs="맑은 고딕" w:eastAsia="맑은 고딕" w:hAnsi="맑은 고딕"/>
          <w:color w:val="8F8A9E"/>
          <w:sz w:val="12"/>
          <w:szCs w:val="12"/>
        </w:rPr>
        <w:t xml:space="preserve">자료: KRX, 언론 보도 종합 / 한양증권 인천프리미어지점 재구성</w:t>
      </w:r>
    </w:p>
    <w:p>
      <w:pPr>
        <w:spacing w:after="120" w:before="260"/>
      </w:pPr>
      <w:r>
        <w:rPr>
          <w:rFonts w:ascii="맑은 고딕" w:cs="맑은 고딕" w:eastAsia="맑은 고딕" w:hAnsi="맑은 고딕"/>
          <w:b/>
          <w:bCs/>
          <w:color w:val="1B1626"/>
          <w:sz w:val="22"/>
          <w:szCs w:val="22"/>
        </w:rPr>
        <w:t xml:space="preserve">Ⅲ. 이슈 종목 — 왜 움직였고, 이어질 것인가</w:t>
      </w:r>
    </w:p>
    <w:tbl>
      <w:tblPr>
        <w:tblW w:type="dxa" w:w="11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30"/>
        <w:gridCol w:w="990"/>
        <w:gridCol w:w="4510"/>
        <w:gridCol w:w="990"/>
        <w:gridCol w:w="3080"/>
      </w:tblGrid>
      <w:tr>
        <w:tc>
          <w:tcPr>
            <w:tcW w:type="dxa" w:w="1430"/>
            <w:tcBorders>
              <w:top w:val="single" w:color="2D2864" w:sz="4"/>
              <w:left w:val="single" w:color="2D2864" w:sz="4"/>
              <w:bottom w:val="single" w:color="2D2864" w:sz="4"/>
              <w:right w:val="single" w:color="2D2864" w:sz="4"/>
            </w:tcBorders>
            <w:shd w:fill="2D2864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6"/>
                <w:szCs w:val="16"/>
              </w:rPr>
              <w:t xml:space="preserve">종목</w:t>
            </w:r>
          </w:p>
        </w:tc>
        <w:tc>
          <w:tcPr>
            <w:tcW w:type="dxa" w:w="990"/>
            <w:tcBorders>
              <w:top w:val="single" w:color="2D2864" w:sz="4"/>
              <w:left w:val="single" w:color="2D2864" w:sz="4"/>
              <w:bottom w:val="single" w:color="2D2864" w:sz="4"/>
              <w:right w:val="single" w:color="2D2864" w:sz="4"/>
            </w:tcBorders>
            <w:shd w:fill="2D2864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6"/>
                <w:szCs w:val="16"/>
              </w:rPr>
              <w:t xml:space="preserve">등락률</w:t>
            </w:r>
          </w:p>
        </w:tc>
        <w:tc>
          <w:tcPr>
            <w:tcW w:type="dxa" w:w="4510"/>
            <w:tcBorders>
              <w:top w:val="single" w:color="2D2864" w:sz="4"/>
              <w:left w:val="single" w:color="2D2864" w:sz="4"/>
              <w:bottom w:val="single" w:color="2D2864" w:sz="4"/>
              <w:right w:val="single" w:color="2D2864" w:sz="4"/>
            </w:tcBorders>
            <w:shd w:fill="2D2864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6"/>
                <w:szCs w:val="16"/>
              </w:rPr>
              <w:t xml:space="preserve">움직인 이유</w:t>
            </w:r>
          </w:p>
        </w:tc>
        <w:tc>
          <w:tcPr>
            <w:tcW w:type="dxa" w:w="990"/>
            <w:tcBorders>
              <w:top w:val="single" w:color="2D2864" w:sz="4"/>
              <w:left w:val="single" w:color="2D2864" w:sz="4"/>
              <w:bottom w:val="single" w:color="2D2864" w:sz="4"/>
              <w:right w:val="single" w:color="2D2864" w:sz="4"/>
            </w:tcBorders>
            <w:shd w:fill="2D2864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6"/>
                <w:szCs w:val="16"/>
              </w:rPr>
              <w:t xml:space="preserve">지속성</w:t>
            </w:r>
          </w:p>
        </w:tc>
        <w:tc>
          <w:tcPr>
            <w:tcW w:type="dxa" w:w="3080"/>
            <w:tcBorders>
              <w:top w:val="single" w:color="2D2864" w:sz="4"/>
              <w:left w:val="single" w:color="2D2864" w:sz="4"/>
              <w:bottom w:val="single" w:color="2D2864" w:sz="4"/>
              <w:right w:val="single" w:color="2D2864" w:sz="4"/>
            </w:tcBorders>
            <w:shd w:fill="2D2864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6"/>
                <w:szCs w:val="16"/>
              </w:rPr>
              <w:t xml:space="preserve">언제·무엇을 확인</w:t>
            </w:r>
          </w:p>
        </w:tc>
      </w:tr>
      <w:tr>
        <w:tc>
          <w:tcPr>
            <w:tcW w:type="dxa" w:w="1430"/>
            <w:tcBorders>
              <w:top w:val="single" w:color="E2DBF2" w:sz="4"/>
              <w:left w:val="single" w:color="E2DBF2" w:sz="4"/>
              <w:bottom w:val="single" w:color="E2DBF2" w:sz="4"/>
              <w:right w:val="single" w:color="E2DBF2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/>
                <w:bCs/>
                <w:sz w:val="16"/>
                <w:szCs w:val="16"/>
              </w:rPr>
              <w:t xml:space="preserve">삼성전자</w:t>
            </w:r>
          </w:p>
        </w:tc>
        <w:tc>
          <w:tcPr>
            <w:tcW w:type="dxa" w:w="990"/>
            <w:tcBorders>
              <w:top w:val="single" w:color="E2DBF2" w:sz="4"/>
              <w:left w:val="single" w:color="E2DBF2" w:sz="4"/>
              <w:bottom w:val="single" w:color="E2DBF2" w:sz="4"/>
              <w:right w:val="single" w:color="E2DBF2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맑은 고딕" w:cs="맑은 고딕" w:eastAsia="맑은 고딕" w:hAnsi="맑은 고딕"/>
                <w:b/>
                <w:bCs/>
                <w:color w:val="1D4ED8"/>
                <w:sz w:val="16"/>
                <w:szCs w:val="16"/>
              </w:rPr>
              <w:t xml:space="preserve">▼ −8.70%</w:t>
            </w:r>
          </w:p>
        </w:tc>
        <w:tc>
          <w:tcPr>
            <w:tcW w:type="dxa" w:w="4510"/>
            <w:tcBorders>
              <w:top w:val="single" w:color="E2DBF2" w:sz="4"/>
              <w:left w:val="single" w:color="E2DBF2" w:sz="4"/>
              <w:bottom w:val="single" w:color="E2DBF2" w:sz="4"/>
              <w:right w:val="single" w:color="E2DBF2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color w:val="58536A"/>
                <w:sz w:val="14"/>
                <w:szCs w:val="14"/>
              </w:rPr>
              <w:t xml:space="preserve">주주환원책에 대한 실망감 속에 美 장기 국채금리 급등(30년물 장중 5.33%)으로 기술주 투심이 위축되며 삼성그룹주 전반이 동반 급락. 뉴욕증시 필라델피아반도체지수도 4.98% 급락하며 글로벌 반도체주 약세가 겹침.</w:t>
            </w:r>
          </w:p>
        </w:tc>
        <w:tc>
          <w:tcPr>
            <w:tcW w:type="dxa" w:w="990"/>
            <w:tcBorders>
              <w:top w:val="single" w:color="E2DBF2" w:sz="4"/>
              <w:left w:val="single" w:color="E2DBF2" w:sz="4"/>
              <w:bottom w:val="single" w:color="E2DBF2" w:sz="4"/>
              <w:right w:val="single" w:color="E2DBF2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맑은 고딕" w:cs="맑은 고딕" w:eastAsia="맑은 고딕" w:hAnsi="맑은 고딕"/>
                <w:b/>
                <w:bCs/>
                <w:color w:val="1D4ED8"/>
                <w:sz w:val="15"/>
                <w:szCs w:val="15"/>
              </w:rPr>
              <w:t xml:space="preserve">약세 지속</w:t>
            </w:r>
          </w:p>
        </w:tc>
        <w:tc>
          <w:tcPr>
            <w:tcW w:type="dxa" w:w="3080"/>
            <w:tcBorders>
              <w:top w:val="single" w:color="E2DBF2" w:sz="4"/>
              <w:left w:val="single" w:color="E2DBF2" w:sz="4"/>
              <w:bottom w:val="single" w:color="E2DBF2" w:sz="4"/>
              <w:right w:val="single" w:color="E2DBF2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color w:val="58536A"/>
                <w:sz w:val="14"/>
                <w:szCs w:val="14"/>
              </w:rPr>
              <w:t xml:space="preserve">8/26 엔비디아 실적 발표와 美 국채금리 추가 상승 여부, 8/27 한국은행 금통위 결과 확인.</w:t>
            </w:r>
          </w:p>
        </w:tc>
      </w:tr>
      <w:tr>
        <w:tc>
          <w:tcPr>
            <w:tcW w:type="dxa" w:w="1430"/>
            <w:tcBorders>
              <w:top w:val="single" w:color="E2DBF2" w:sz="4"/>
              <w:left w:val="single" w:color="E2DBF2" w:sz="4"/>
              <w:bottom w:val="single" w:color="E2DBF2" w:sz="4"/>
              <w:right w:val="single" w:color="E2DBF2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/>
                <w:bCs/>
                <w:sz w:val="16"/>
                <w:szCs w:val="16"/>
              </w:rPr>
              <w:t xml:space="preserve">SK하이닉스</w:t>
            </w:r>
          </w:p>
        </w:tc>
        <w:tc>
          <w:tcPr>
            <w:tcW w:type="dxa" w:w="990"/>
            <w:tcBorders>
              <w:top w:val="single" w:color="E2DBF2" w:sz="4"/>
              <w:left w:val="single" w:color="E2DBF2" w:sz="4"/>
              <w:bottom w:val="single" w:color="E2DBF2" w:sz="4"/>
              <w:right w:val="single" w:color="E2DBF2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맑은 고딕" w:cs="맑은 고딕" w:eastAsia="맑은 고딕" w:hAnsi="맑은 고딕"/>
                <w:b/>
                <w:bCs/>
                <w:color w:val="1D4ED8"/>
                <w:sz w:val="16"/>
                <w:szCs w:val="16"/>
              </w:rPr>
              <w:t xml:space="preserve">▼ −3.41%</w:t>
            </w:r>
          </w:p>
        </w:tc>
        <w:tc>
          <w:tcPr>
            <w:tcW w:type="dxa" w:w="4510"/>
            <w:tcBorders>
              <w:top w:val="single" w:color="E2DBF2" w:sz="4"/>
              <w:left w:val="single" w:color="E2DBF2" w:sz="4"/>
              <w:bottom w:val="single" w:color="E2DBF2" w:sz="4"/>
              <w:right w:val="single" w:color="E2DBF2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color w:val="58536A"/>
                <w:sz w:val="14"/>
                <w:szCs w:val="14"/>
              </w:rPr>
              <w:t xml:space="preserve">AMD·샌디스크 등 美 AI 반도체 관련주가 시장 예상을 밑도는 실적 전망을 내놓으며 뉴욕 반도체주가 줄줄이 하락, 그 여파로 국내 반도체 투심도 위축.</w:t>
            </w:r>
          </w:p>
        </w:tc>
        <w:tc>
          <w:tcPr>
            <w:tcW w:type="dxa" w:w="990"/>
            <w:tcBorders>
              <w:top w:val="single" w:color="E2DBF2" w:sz="4"/>
              <w:left w:val="single" w:color="E2DBF2" w:sz="4"/>
              <w:bottom w:val="single" w:color="E2DBF2" w:sz="4"/>
              <w:right w:val="single" w:color="E2DBF2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맑은 고딕" w:cs="맑은 고딕" w:eastAsia="맑은 고딕" w:hAnsi="맑은 고딕"/>
                <w:b/>
                <w:bCs/>
                <w:color w:val="8F8A9E"/>
                <w:sz w:val="15"/>
                <w:szCs w:val="15"/>
              </w:rPr>
              <w:t xml:space="preserve">중립</w:t>
            </w:r>
          </w:p>
        </w:tc>
        <w:tc>
          <w:tcPr>
            <w:tcW w:type="dxa" w:w="3080"/>
            <w:tcBorders>
              <w:top w:val="single" w:color="E2DBF2" w:sz="4"/>
              <w:left w:val="single" w:color="E2DBF2" w:sz="4"/>
              <w:bottom w:val="single" w:color="E2DBF2" w:sz="4"/>
              <w:right w:val="single" w:color="E2DBF2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color w:val="58536A"/>
                <w:sz w:val="14"/>
                <w:szCs w:val="14"/>
              </w:rPr>
              <w:t xml:space="preserve">8/26 엔비디아 실적에서 HBM 수요·메모리 업황 코멘트 확인.</w:t>
            </w:r>
          </w:p>
        </w:tc>
      </w:tr>
      <w:tr>
        <w:tc>
          <w:tcPr>
            <w:tcW w:type="dxa" w:w="1430"/>
            <w:tcBorders>
              <w:top w:val="single" w:color="E2DBF2" w:sz="4"/>
              <w:left w:val="single" w:color="E2DBF2" w:sz="4"/>
              <w:bottom w:val="single" w:color="E2DBF2" w:sz="4"/>
              <w:right w:val="single" w:color="E2DBF2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/>
                <w:bCs/>
                <w:sz w:val="16"/>
                <w:szCs w:val="16"/>
              </w:rPr>
              <w:t xml:space="preserve">한미약품</w:t>
            </w:r>
          </w:p>
        </w:tc>
        <w:tc>
          <w:tcPr>
            <w:tcW w:type="dxa" w:w="990"/>
            <w:tcBorders>
              <w:top w:val="single" w:color="E2DBF2" w:sz="4"/>
              <w:left w:val="single" w:color="E2DBF2" w:sz="4"/>
              <w:bottom w:val="single" w:color="E2DBF2" w:sz="4"/>
              <w:right w:val="single" w:color="E2DBF2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맑은 고딕" w:cs="맑은 고딕" w:eastAsia="맑은 고딕" w:hAnsi="맑은 고딕"/>
                <w:b/>
                <w:bCs/>
                <w:color w:val="D6273C"/>
                <w:sz w:val="16"/>
                <w:szCs w:val="16"/>
              </w:rPr>
              <w:t xml:space="preserve">▲ +29.96%</w:t>
            </w:r>
          </w:p>
        </w:tc>
        <w:tc>
          <w:tcPr>
            <w:tcW w:type="dxa" w:w="4510"/>
            <w:tcBorders>
              <w:top w:val="single" w:color="E2DBF2" w:sz="4"/>
              <w:left w:val="single" w:color="E2DBF2" w:sz="4"/>
              <w:bottom w:val="single" w:color="E2DBF2" w:sz="4"/>
              <w:right w:val="single" w:color="E2DBF2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color w:val="58536A"/>
                <w:sz w:val="14"/>
                <w:szCs w:val="14"/>
              </w:rPr>
              <w:t xml:space="preserve">로슈그룹 자회사 제넨텍과 3조 5,000억원 규모 비만신약 독점 라이선스 계약을 체결(선급금 1억 9,000만 달러)했다는 소식에 상한가로 직행.</w:t>
            </w:r>
          </w:p>
        </w:tc>
        <w:tc>
          <w:tcPr>
            <w:tcW w:type="dxa" w:w="990"/>
            <w:tcBorders>
              <w:top w:val="single" w:color="E2DBF2" w:sz="4"/>
              <w:left w:val="single" w:color="E2DBF2" w:sz="4"/>
              <w:bottom w:val="single" w:color="E2DBF2" w:sz="4"/>
              <w:right w:val="single" w:color="E2DBF2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맑은 고딕" w:cs="맑은 고딕" w:eastAsia="맑은 고딕" w:hAnsi="맑은 고딕"/>
                <w:b/>
                <w:bCs/>
                <w:color w:val="1B1626"/>
                <w:sz w:val="15"/>
                <w:szCs w:val="15"/>
              </w:rPr>
              <w:t xml:space="preserve">높음</w:t>
            </w:r>
          </w:p>
        </w:tc>
        <w:tc>
          <w:tcPr>
            <w:tcW w:type="dxa" w:w="3080"/>
            <w:tcBorders>
              <w:top w:val="single" w:color="E2DBF2" w:sz="4"/>
              <w:left w:val="single" w:color="E2DBF2" w:sz="4"/>
              <w:bottom w:val="single" w:color="E2DBF2" w:sz="4"/>
              <w:right w:val="single" w:color="E2DBF2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color w:val="58536A"/>
                <w:sz w:val="14"/>
                <w:szCs w:val="14"/>
              </w:rPr>
              <w:t xml:space="preserve">계약 관련 후속 공시(임상 진행 상황·마일스톤) 및 한미사이언스 등 계열사 동반 흐름 확인.</w:t>
            </w:r>
          </w:p>
        </w:tc>
      </w:tr>
    </w:tbl>
    <w:p>
      <w:pPr>
        <w:spacing w:after="120" w:before="260"/>
      </w:pPr>
      <w:r>
        <w:rPr>
          <w:rFonts w:ascii="맑은 고딕" w:cs="맑은 고딕" w:eastAsia="맑은 고딕" w:hAnsi="맑은 고딕"/>
          <w:b/>
          <w:bCs/>
          <w:color w:val="1B1626"/>
          <w:sz w:val="22"/>
          <w:szCs w:val="22"/>
        </w:rPr>
        <w:t xml:space="preserve">Ⅳ. 이번 주 캘린더</w:t>
      </w:r>
      <w:r>
        <w:rPr>
          <w:rFonts w:ascii="맑은 고딕" w:cs="맑은 고딕" w:eastAsia="맑은 고딕" w:hAnsi="맑은 고딕"/>
          <w:color w:val="8F8A9E"/>
          <w:sz w:val="15"/>
          <w:szCs w:val="15"/>
        </w:rPr>
        <w:t xml:space="preserve">   시각은 한국시간(KST) · ★★★ = 지수 방향을 바꿀 수 있는 이벤트</w:t>
      </w:r>
    </w:p>
    <w:tbl>
      <w:tblPr>
        <w:tblW w:type="dxa" w:w="11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200"/>
        <w:gridCol w:w="2200"/>
        <w:gridCol w:w="2200"/>
        <w:gridCol w:w="2200"/>
      </w:tblGrid>
      <w:tr>
        <w:tc>
          <w:tcPr>
            <w:tcW w:type="dxa" w:w="2200"/>
            <w:tcBorders>
              <w:top w:val="single" w:color="2D2864" w:sz="4"/>
              <w:left w:val="single" w:color="2D2864" w:sz="4"/>
              <w:bottom w:val="single" w:color="2D2864" w:sz="4"/>
              <w:right w:val="single" w:color="2D2864" w:sz="4"/>
            </w:tcBorders>
            <w:shd w:fill="2D2864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6"/>
                <w:szCs w:val="16"/>
              </w:rPr>
              <w:t xml:space="preserve">24</w:t>
            </w:r>
            <w:r>
              <w:rPr>
                <w:rFonts w:ascii="맑은 고딕" w:cs="맑은 고딕" w:eastAsia="맑은 고딕" w:hAnsi="맑은 고딕"/>
                <w:color w:val="FFFFFF"/>
                <w:sz w:val="12"/>
                <w:szCs w:val="12"/>
              </w:rPr>
              <w:t xml:space="preserve">  MON</w:t>
            </w:r>
          </w:p>
        </w:tc>
        <w:tc>
          <w:tcPr>
            <w:tcW w:type="dxa" w:w="2200"/>
            <w:tcBorders>
              <w:top w:val="single" w:color="2D2864" w:sz="4"/>
              <w:left w:val="single" w:color="2D2864" w:sz="4"/>
              <w:bottom w:val="single" w:color="2D2864" w:sz="4"/>
              <w:right w:val="single" w:color="2D2864" w:sz="4"/>
            </w:tcBorders>
            <w:shd w:fill="2D2864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6"/>
                <w:szCs w:val="16"/>
              </w:rPr>
              <w:t xml:space="preserve">25</w:t>
            </w:r>
            <w:r>
              <w:rPr>
                <w:rFonts w:ascii="맑은 고딕" w:cs="맑은 고딕" w:eastAsia="맑은 고딕" w:hAnsi="맑은 고딕"/>
                <w:color w:val="FFFFFF"/>
                <w:sz w:val="12"/>
                <w:szCs w:val="12"/>
              </w:rPr>
              <w:t xml:space="preserve">  TUE</w:t>
            </w:r>
          </w:p>
        </w:tc>
        <w:tc>
          <w:tcPr>
            <w:tcW w:type="dxa" w:w="2200"/>
            <w:tcBorders>
              <w:top w:val="single" w:color="2D2864" w:sz="4"/>
              <w:left w:val="single" w:color="2D2864" w:sz="4"/>
              <w:bottom w:val="single" w:color="2D2864" w:sz="4"/>
              <w:right w:val="single" w:color="2D2864" w:sz="4"/>
            </w:tcBorders>
            <w:shd w:fill="2D2864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6"/>
                <w:szCs w:val="16"/>
              </w:rPr>
              <w:t xml:space="preserve">26</w:t>
            </w:r>
            <w:r>
              <w:rPr>
                <w:rFonts w:ascii="맑은 고딕" w:cs="맑은 고딕" w:eastAsia="맑은 고딕" w:hAnsi="맑은 고딕"/>
                <w:color w:val="FFFFFF"/>
                <w:sz w:val="12"/>
                <w:szCs w:val="12"/>
              </w:rPr>
              <w:t xml:space="preserve">  WED</w:t>
            </w:r>
          </w:p>
        </w:tc>
        <w:tc>
          <w:tcPr>
            <w:tcW w:type="dxa" w:w="2200"/>
            <w:tcBorders>
              <w:top w:val="single" w:color="2D2864" w:sz="4"/>
              <w:left w:val="single" w:color="2D2864" w:sz="4"/>
              <w:bottom w:val="single" w:color="2D2864" w:sz="4"/>
              <w:right w:val="single" w:color="2D2864" w:sz="4"/>
            </w:tcBorders>
            <w:shd w:fill="2D2864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6"/>
                <w:szCs w:val="16"/>
              </w:rPr>
              <w:t xml:space="preserve">27</w:t>
            </w:r>
            <w:r>
              <w:rPr>
                <w:rFonts w:ascii="맑은 고딕" w:cs="맑은 고딕" w:eastAsia="맑은 고딕" w:hAnsi="맑은 고딕"/>
                <w:color w:val="FFFFFF"/>
                <w:sz w:val="12"/>
                <w:szCs w:val="12"/>
              </w:rPr>
              <w:t xml:space="preserve">  THU</w:t>
            </w:r>
          </w:p>
        </w:tc>
        <w:tc>
          <w:tcPr>
            <w:tcW w:type="dxa" w:w="2200"/>
            <w:tcBorders>
              <w:top w:val="single" w:color="2D2864" w:sz="4"/>
              <w:left w:val="single" w:color="2D2864" w:sz="4"/>
              <w:bottom w:val="single" w:color="2D2864" w:sz="4"/>
              <w:right w:val="single" w:color="2D2864" w:sz="4"/>
            </w:tcBorders>
            <w:shd w:fill="2D2864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6"/>
                <w:szCs w:val="16"/>
              </w:rPr>
              <w:t xml:space="preserve">28</w:t>
            </w:r>
            <w:r>
              <w:rPr>
                <w:rFonts w:ascii="맑은 고딕" w:cs="맑은 고딕" w:eastAsia="맑은 고딕" w:hAnsi="맑은 고딕"/>
                <w:color w:val="FFFFFF"/>
                <w:sz w:val="12"/>
                <w:szCs w:val="12"/>
              </w:rPr>
              <w:t xml:space="preserve">  FRI</w:t>
            </w:r>
          </w:p>
        </w:tc>
      </w:tr>
      <w:tr>
        <w:tc>
          <w:tcPr>
            <w:tcW w:type="dxa" w:w="2200"/>
            <w:tcBorders>
              <w:top w:val="single" w:color="E2DBF2" w:sz="4"/>
              <w:left w:val="single" w:color="E2DBF2" w:sz="4"/>
              <w:bottom w:val="single" w:color="E2DBF2" w:sz="4"/>
              <w:right w:val="single" w:color="E2DBF2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20"/>
            </w:pPr>
            <w:r>
              <w:rPr>
                <w:rFonts w:ascii="맑은 고딕" w:cs="맑은 고딕" w:eastAsia="맑은 고딕" w:hAnsi="맑은 고딕"/>
                <w:b/>
                <w:bCs/>
                <w:color w:val="754BE4"/>
                <w:sz w:val="13"/>
                <w:szCs w:val="13"/>
              </w:rPr>
              <w:t xml:space="preserve">마감 </w:t>
            </w:r>
            <w:r>
              <w:rPr>
                <w:rFonts w:ascii="맑은 고딕" w:cs="맑은 고딕" w:eastAsia="맑은 고딕" w:hAnsi="맑은 고딕"/>
                <w:b/>
                <w:bCs/>
                <w:color w:val="1B1626"/>
                <w:sz w:val="13"/>
                <w:szCs w:val="13"/>
              </w:rPr>
              <w:t xml:space="preserve">코스피 −3.12% / 코스닥 +1.42%</w:t>
            </w:r>
          </w:p>
          <w:p>
            <w:pPr>
              <w:spacing w:after="80"/>
            </w:pPr>
            <w:r>
              <w:rPr>
                <w:rFonts w:ascii="맑은 고딕" w:cs="맑은 고딕" w:eastAsia="맑은 고딕" w:hAnsi="맑은 고딕"/>
                <w:color w:val="58536A"/>
                <w:sz w:val="11"/>
                <w:szCs w:val="11"/>
              </w:rPr>
              <w:t xml:space="preserve">삼성전자·SK하이닉스 동반 급락에 코스피 6700선 붕괴, 코스닥은 2차전지·바이오 강세로 방어</w:t>
            </w:r>
          </w:p>
          <w:p>
            <w:pPr>
              <w:spacing w:before="40"/>
            </w:pPr>
            <w:r>
              <w:rPr>
                <w:rFonts w:ascii="맑은 고딕" w:cs="맑은 고딕" w:eastAsia="맑은 고딕" w:hAnsi="맑은 고딕"/>
                <w:b/>
                <w:bCs/>
                <w:color w:val="2D2864"/>
                <w:sz w:val="11"/>
                <w:szCs w:val="11"/>
              </w:rPr>
              <w:t xml:space="preserve">오늘 자료 기준일</w:t>
            </w:r>
          </w:p>
        </w:tc>
        <w:tc>
          <w:tcPr>
            <w:tcW w:type="dxa" w:w="2200"/>
            <w:tcBorders>
              <w:top w:val="single" w:color="E2DBF2" w:sz="4"/>
              <w:left w:val="single" w:color="E2DBF2" w:sz="4"/>
              <w:bottom w:val="single" w:color="E2DBF2" w:sz="4"/>
              <w:right w:val="single" w:color="E2DBF2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맑은 고딕" w:cs="맑은 고딕" w:eastAsia="맑은 고딕" w:hAnsi="맑은 고딕"/>
              </w:rPr>
              <w:t xml:space="preserve"/>
            </w:r>
          </w:p>
        </w:tc>
        <w:tc>
          <w:tcPr>
            <w:tcW w:type="dxa" w:w="2200"/>
            <w:tcBorders>
              <w:top w:val="single" w:color="E2DBF2" w:sz="4"/>
              <w:left w:val="single" w:color="E2DBF2" w:sz="4"/>
              <w:bottom w:val="single" w:color="E2DBF2" w:sz="4"/>
              <w:right w:val="single" w:color="E2DBF2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20"/>
            </w:pPr>
            <w:r>
              <w:rPr>
                <w:rFonts w:ascii="맑은 고딕" w:cs="맑은 고딕" w:eastAsia="맑은 고딕" w:hAnsi="맑은 고딕"/>
                <w:b/>
                <w:bCs/>
                <w:color w:val="754BE4"/>
                <w:sz w:val="13"/>
                <w:szCs w:val="13"/>
              </w:rPr>
              <w:t xml:space="preserve">21:30 ★★★ </w:t>
            </w:r>
            <w:r>
              <w:rPr>
                <w:rFonts w:ascii="맑은 고딕" w:cs="맑은 고딕" w:eastAsia="맑은 고딕" w:hAnsi="맑은 고딕"/>
                <w:b/>
                <w:bCs/>
                <w:color w:val="1B1626"/>
                <w:sz w:val="13"/>
                <w:szCs w:val="13"/>
              </w:rPr>
              <w:t xml:space="preserve">엔비디아(NVDA) 2분기 실적 발표</w:t>
            </w:r>
          </w:p>
          <w:p>
            <w:pPr>
              <w:spacing w:after="80"/>
            </w:pPr>
            <w:r>
              <w:rPr>
                <w:rFonts w:ascii="맑은 고딕" w:cs="맑은 고딕" w:eastAsia="맑은 고딕" w:hAnsi="맑은 고딕"/>
                <w:color w:val="58536A"/>
                <w:sz w:val="11"/>
                <w:szCs w:val="11"/>
              </w:rPr>
              <w:t xml:space="preserve">AI·데이터센터向 반도체 수요 가늠자 — 실적/가이던스에 따라 삼성전자·SK하이닉스 변동성 확대 가능.</w:t>
            </w:r>
          </w:p>
        </w:tc>
        <w:tc>
          <w:tcPr>
            <w:tcW w:type="dxa" w:w="2200"/>
            <w:tcBorders>
              <w:top w:val="single" w:color="E2DBF2" w:sz="4"/>
              <w:left w:val="single" w:color="E2DBF2" w:sz="4"/>
              <w:bottom w:val="single" w:color="E2DBF2" w:sz="4"/>
              <w:right w:val="single" w:color="E2DBF2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20"/>
            </w:pPr>
            <w:r>
              <w:rPr>
                <w:rFonts w:ascii="맑은 고딕" w:cs="맑은 고딕" w:eastAsia="맑은 고딕" w:hAnsi="맑은 고딕"/>
                <w:b/>
                <w:bCs/>
                <w:color w:val="754BE4"/>
                <w:sz w:val="13"/>
                <w:szCs w:val="13"/>
              </w:rPr>
              <w:t xml:space="preserve">오전 ★★★ </w:t>
            </w:r>
            <w:r>
              <w:rPr>
                <w:rFonts w:ascii="맑은 고딕" w:cs="맑은 고딕" w:eastAsia="맑은 고딕" w:hAnsi="맑은 고딕"/>
                <w:b/>
                <w:bCs/>
                <w:color w:val="1B1626"/>
                <w:sz w:val="13"/>
                <w:szCs w:val="13"/>
              </w:rPr>
              <w:t xml:space="preserve">한국은행 금융통화위원회 (기준금리 결정 · 경제전망)</w:t>
            </w:r>
          </w:p>
          <w:p>
            <w:pPr>
              <w:spacing w:after="80"/>
            </w:pPr>
            <w:r>
              <w:rPr>
                <w:rFonts w:ascii="맑은 고딕" w:cs="맑은 고딕" w:eastAsia="맑은 고딕" w:hAnsi="맑은 고딕"/>
                <w:color w:val="58536A"/>
                <w:sz w:val="11"/>
                <w:szCs w:val="11"/>
              </w:rPr>
              <w:t xml:space="preserve">반도체發 증시 변동성 국면에서 통화정책 스탠스 확인.</w:t>
            </w:r>
          </w:p>
          <w:p>
            <w:pPr>
              <w:spacing w:after="20"/>
            </w:pPr>
            <w:r>
              <w:rPr>
                <w:rFonts w:ascii="맑은 고딕" w:cs="맑은 고딕" w:eastAsia="맑은 고딕" w:hAnsi="맑은 고딕"/>
                <w:b/>
                <w:bCs/>
                <w:color w:val="754BE4"/>
                <w:sz w:val="13"/>
                <w:szCs w:val="13"/>
              </w:rPr>
              <w:t xml:space="preserve">저녁 ★★ </w:t>
            </w:r>
            <w:r>
              <w:rPr>
                <w:rFonts w:ascii="맑은 고딕" w:cs="맑은 고딕" w:eastAsia="맑은 고딕" w:hAnsi="맑은 고딕"/>
                <w:b/>
                <w:bCs/>
                <w:color w:val="1B1626"/>
                <w:sz w:val="13"/>
                <w:szCs w:val="13"/>
              </w:rPr>
              <w:t xml:space="preserve">잭슨홀 경제정책 심포지엄 개막 (~8/29)</w:t>
            </w:r>
          </w:p>
          <w:p>
            <w:pPr>
              <w:spacing w:after="80"/>
            </w:pPr>
            <w:r>
              <w:rPr>
                <w:rFonts w:ascii="맑은 고딕" w:cs="맑은 고딕" w:eastAsia="맑은 고딕" w:hAnsi="맑은 고딕"/>
                <w:color w:val="58536A"/>
                <w:sz w:val="11"/>
                <w:szCs w:val="11"/>
              </w:rPr>
              <w:t xml:space="preserve">연준 인사 발언에서 9월 이후 정책 힌트 확인.</w:t>
            </w:r>
          </w:p>
        </w:tc>
        <w:tc>
          <w:tcPr>
            <w:tcW w:type="dxa" w:w="2200"/>
            <w:tcBorders>
              <w:top w:val="single" w:color="E2DBF2" w:sz="4"/>
              <w:left w:val="single" w:color="E2DBF2" w:sz="4"/>
              <w:bottom w:val="single" w:color="E2DBF2" w:sz="4"/>
              <w:right w:val="single" w:color="E2DBF2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20"/>
            </w:pPr>
            <w:r>
              <w:rPr>
                <w:rFonts w:ascii="맑은 고딕" w:cs="맑은 고딕" w:eastAsia="맑은 고딕" w:hAnsi="맑은 고딕"/>
                <w:b/>
                <w:bCs/>
                <w:color w:val="754BE4"/>
                <w:sz w:val="13"/>
                <w:szCs w:val="13"/>
              </w:rPr>
              <w:t xml:space="preserve">종일 ★ </w:t>
            </w:r>
            <w:r>
              <w:rPr>
                <w:rFonts w:ascii="맑은 고딕" w:cs="맑은 고딕" w:eastAsia="맑은 고딕" w:hAnsi="맑은 고딕"/>
                <w:b/>
                <w:bCs/>
                <w:color w:val="1B1626"/>
                <w:sz w:val="13"/>
                <w:szCs w:val="13"/>
              </w:rPr>
              <w:t xml:space="preserve">잭슨홀 심포지엄 마지막 날</w:t>
            </w:r>
          </w:p>
          <w:p>
            <w:pPr>
              <w:spacing w:after="80"/>
            </w:pPr>
            <w:r>
              <w:rPr>
                <w:rFonts w:ascii="맑은 고딕" w:cs="맑은 고딕" w:eastAsia="맑은 고딕" w:hAnsi="맑은 고딕"/>
                <w:color w:val="58536A"/>
                <w:sz w:val="11"/>
                <w:szCs w:val="11"/>
              </w:rPr>
              <w:t xml:space="preserve">주요 연준 인사 연설 예정 여부 확인 필요.</w:t>
            </w:r>
          </w:p>
        </w:tc>
      </w:tr>
    </w:tbl>
    <w:p>
      <w:r>
        <w:rPr>
          <w:rFonts w:ascii="맑은 고딕" w:cs="맑은 고딕" w:eastAsia="맑은 고딕" w:hAnsi="맑은 고딕"/>
        </w:rPr>
        <w:t xml:space="preserve"/>
      </w:r>
    </w:p>
    <w:tbl>
      <w:tblPr>
        <w:tblW w:type="dxa" w:w="11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1000"/>
      </w:tblGrid>
      <w:tr>
        <w:tc>
          <w:tcPr>
            <w:tcW w:type="dxa" w:w="11000"/>
            <w:tcBorders>
              <w:top w:val="single" w:color="E2DBF2" w:sz="4"/>
              <w:left w:val="single" w:color="E2DBF2" w:sz="4"/>
              <w:bottom w:val="single" w:color="E2DBF2" w:sz="4"/>
              <w:right w:val="single" w:color="E2DBF2" w:sz="4"/>
            </w:tcBorders>
            <w:shd w:fill="F5F3FA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/>
                <w:bCs/>
                <w:color w:val="1B1626"/>
                <w:sz w:val="14"/>
                <w:szCs w:val="14"/>
              </w:rPr>
              <w:t xml:space="preserve">다음 주 예고  </w:t>
            </w:r>
            <w:r>
              <w:rPr>
                <w:rFonts w:ascii="맑은 고딕" w:cs="맑은 고딕" w:eastAsia="맑은 고딕" w:hAnsi="맑은 고딕"/>
                <w:color w:val="58536A"/>
                <w:sz w:val="14"/>
                <w:szCs w:val="14"/>
              </w:rPr>
              <w:t xml:space="preserve">9/1(화) 관세청 8월 수출입 동향 발표 예정 (매월 1일 정기 발표)</w:t>
            </w:r>
          </w:p>
        </w:tc>
      </w:tr>
    </w:tbl>
    <w:p>
      <w:pPr>
        <w:spacing w:before="260"/>
      </w:pPr>
      <w:r>
        <w:rPr>
          <w:rFonts w:ascii="맑은 고딕" w:cs="맑은 고딕" w:eastAsia="맑은 고딕" w:hAnsi="맑은 고딕"/>
          <w:color w:val="8F8A9E"/>
          <w:sz w:val="13"/>
          <w:szCs w:val="13"/>
        </w:rPr>
        <w:t xml:space="preserve">본 자료는 당사 지점 고객 및 임직원의 참고용으로 작성된 것으로 투자권유 또는 투자자문 목적이 아니며, 기재된 수치·전망은 오차가 발생할 수 있습니다. 투자의 최종 판단과 책임은 투자자 본인에게 있습니다. 당사 허락 없이 복사·대여·배포될 수 없습니다.</w:t>
      </w:r>
    </w:p>
    <w:p>
      <w:pPr>
        <w:spacing w:before="160"/>
        <w:jc w:val="center"/>
      </w:pPr>
      <w:r>
        <w:rPr>
          <w:rFonts w:ascii="맑은 고딕" w:cs="맑은 고딕" w:eastAsia="맑은 고딕" w:hAnsi="맑은 고딕"/>
          <w:color w:val="8F8A9E"/>
          <w:sz w:val="12"/>
          <w:szCs w:val="12"/>
        </w:rPr>
        <w:t xml:space="preserve">DAILY MARKET WRAP · 인천프리미어지점</w:t>
      </w:r>
    </w:p>
    <w:sectPr>
      <w:pgSz w:w="11906" w:h="16838" w:orient="portrait"/>
      <w:pgMar w:top="720" w:right="720" w:bottom="720" w:left="72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맑은 고딕" w:cs="맑은 고딕" w:eastAsia="맑은 고딕" w:hAnsi="맑은 고딕"/>
        <w:sz w:val="18"/>
        <w:szCs w:val="18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image" Target="media/a4f90577f7f9106973815dc0b8beee6ec69c09b5.png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2026-08-25T23:52:58.925Z</dcterms:created>
  <dcterms:modified xsi:type="dcterms:W3CDTF">2026-08-25T23:52:58.939Z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