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Arial" w:eastAsia="SimHei"/>
          <w:b/>
          <w:bCs/>
          <w:color w:val="1F4E79"/>
          <w:sz w:val="44"/>
          <w:szCs w:val="44"/>
        </w:rPr>
        <w:t xml:space="preserve">《智慧水利平台架构与开发》教材修改方案</w:t>
      </w:r>
    </w:p>
    <w:p>
      <w:pPr>
        <w:spacing w:after="2000"/>
        <w:jc w:val="center"/>
      </w:pPr>
      <w:r>
        <w:rPr>
          <w:rFonts w:ascii="Times New Roman" w:eastAsia="SimSun"/>
          <w:color w:val="404040"/>
          <w:sz w:val="26"/>
          <w:szCs w:val="26"/>
        </w:rPr>
        <w:t xml:space="preserve">基于 2026-08-04 教材标准审计报告（182 项发现）的整改实施计划</w:t>
      </w:r>
    </w:p>
    <w:p>
      <w:pPr>
        <w:jc w:val="center"/>
      </w:pPr>
      <w:r>
        <w:rPr>
          <w:rFonts w:ascii="Times New Roman" w:eastAsia="SimSun"/>
          <w:sz w:val="22"/>
          <w:szCs w:val="22"/>
        </w:rPr>
        <w:t xml:space="preserve">基线：output/chapters/*.tex（LaTeX 定稿版）    2026年8月4日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一、修改总则</w:t>
      </w:r>
    </w:p>
    <w:p>
      <w:pPr>
        <w:spacing w:after="60" w:before="60" w:line="300"/>
      </w:pPr>
      <w:r>
        <w:rPr>
          <w:rFonts w:ascii="Times New Roman" w:eastAsia="SimSun"/>
          <w:b/>
          <w:bCs/>
          <w:sz w:val="21"/>
          <w:szCs w:val="21"/>
        </w:rPr>
        <w:t xml:space="preserve">目标：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以 LaTeX 定稿为唯一工作基线，通过三个批次、19 个工作包（WP1–WP19），完成审计报告全部 182 项问题的整改，并同步完成 51World 数字孪生内容建设（第6章 6.4 重写 + 第8章 8.5 新增节），使教材达到大学教材出版送审标准。</w:t>
      </w:r>
    </w:p>
    <w:p>
      <w:pPr>
        <w:spacing w:after="60" w:before="120" w:line="300"/>
      </w:pPr>
      <w:r>
        <w:rPr>
          <w:rFonts w:ascii="Times New Roman" w:eastAsia="SimSun"/>
          <w:b/>
          <w:bCs/>
          <w:sz w:val="21"/>
          <w:szCs w:val="21"/>
        </w:rPr>
        <w:t xml:space="preserve">修改原则：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审计条目逐项闭环：每个工作包完成时输出修改记录，标注对应审计条目与处理方式（已改/部分改/不改及理由），不允许静默跳过；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不引入无依据内容：补写内容须有出处（官方文档、行业标准、51WIM 手册），案例数据注明为演示/虚拟设定；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每批次结束全书编译验证一次，批次内高风险工作包（WP2、WP3、WP10、WP11）单独编译；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先结构后文字：结构性调整（挪节、合并、重写）先行，编辑加工（语言、格式）最后统一做，避免返工；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版本管理：每批次完成后 git 提交一次（提交信息含批次号与工作包清单），便于回滚与对照。</w:t>
      </w:r>
    </w:p>
    <w:p>
      <w:pPr>
        <w:spacing w:after="60" w:before="120" w:line="300"/>
      </w:pPr>
      <w:r>
        <w:rPr>
          <w:rFonts w:ascii="Times New Roman" w:eastAsia="SimSun"/>
          <w:b/>
          <w:bCs/>
          <w:sz w:val="21"/>
          <w:szCs w:val="21"/>
        </w:rPr>
        <w:t xml:space="preserve">成果物：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修改后的全套 tex 与重新编译的 main.pdf（每批次一版）；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《修改记录-第三轮》逐项对照表（审计条目 → 修改动作 → 位置）；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扩充后的 references.bib 与新增 TikZ 图源码。</w:t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二、工作包分解与实施计划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批次一（P0）：付印阻断项修复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批次目标：消除编译失败、结构事故、事实与代码硬伤、全书口径矛盾。完成后全书可编译、无误导性内容，达到"可安全流转"状态。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500"/>
        <w:gridCol w:w="900"/>
        <w:gridCol w:w="900"/>
        <w:gridCol w:w="2860"/>
      </w:tblGrid>
      <w:tr>
        <w:trPr>
          <w:tblHeader/>
        </w:trPr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30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工作包</w:t>
            </w:r>
          </w:p>
        </w:tc>
        <w:tc>
          <w:tcPr>
            <w:tcW w:type="dxa" w:w="15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86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依赖与顺序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编译修复（最先执行）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chapter06.tex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绘图+文字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小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无（阻断一切验证，须最先完成）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WP2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第4章结构事故修复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chapter04.tex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实质性补充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大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依赖 D1 决策（Router/Pinia）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WP3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第5章结构与代码硬伤修复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chapter05.tex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实质性补充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大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依赖 D2 决策（消息队列）、D5（版本基线）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WP4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第6章公式与事实硬伤修复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chapter06.tex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文字修改（专业性核校）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WP1 后；先于 WP6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WP5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SafeHome 与论文拼接残留清扫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chapter03.tex, chapter06.tex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文字修改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可与 WP4 并行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WP6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第7章 UTM 路线纠正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chapter07.tex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文字修改+重写小节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串行于 WP4（坐标表述定稿后）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WP7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第8章习题重编与技术栈统一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chapter08.tex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实质性补充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习题定稿与 WP11 联动（预留 2–3 题位）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WP8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全书结构口径统一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preface.tex, chapter01.tex, chapter09.tex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文字修改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小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须先于 WP9、WP10（口径先定）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WP9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第1、2章事实与要素修复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chapter01.tex, chapter02.tex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文字修改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WP8 后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 编译修复（最先执行）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ch6_image61/62.png 两处缺图：按上下文（无人机倾斜摄影系统组成、空三加密流程）用 TikZ 重绘替代 \includegraphics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完成后立即全书编译一次，建立基线 PDF 供后续对照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不改的风险：不修则全书无法编译，所有后续修改无法验证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WP2 第4章结构事故修复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恢复"CSS样式与布局"独立节：将现混入 HTML 节的 CSS 内容（层叠/Grid/组件/响应式）移出成节，HTML 节补回语义化标签教学内容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删除"更详细的HTML元素讲解已精简…"编辑批注残留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4.4 异步编程、4.5 DOM 操作：每小节恢复 1 个 20 行内完整可运行示例（.then 链、async/await、事件绑定各一）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修复 7 处以上截断致语法非法的代码清单（补闭合结构）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Vue 生命周期图钩子名改 Vue 3（beforeUnmount/unmounted）；浏览器架构图连线重画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按 D1 决策补写 Router/Pinia 小节或降低章末交付要求并改小结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历史演进小节压缩（4案例→1水利反例）；try-catch/调试技巧等编号与标题错位修正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不改的风险：当前状态学生按章学习会在 CSS/异步/DOM 三处遇到无法自洽的内容，属出版事故级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WP3 第5章结构与代码硬伤修复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5.1/5.2 结构重组：Spring Boot/Servlet 主体教学从 5.1 移入 5.2，5.1 回归概述定位，兑现或删除"下节预告"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事务自调用 REQUIRES_NEW 反例改正：注入另一 Bean 调用 + "自调用失效"警示框（化错误为教学点）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WaterDataSummary 增量均值公式修正 (avg*n+x)/(n+1)，补字段初始化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Security/JWT 按 Spring Boot 3 + Security 6 + jjwt 0.11+ 统一改写，密钥外部化；权限枚举名统一；AuthController 跨类常量与 refreshToken 逻辑修复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@EventListener→@TransactionalEventListener(AFTER_COMMIT)；微服务示例改消息监听或注明同进程演示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5.3 前补"实体映射与Repository基础"小节；分布式事务/DDD 降为选学扩展框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按 D2 决策补消息队列小节或删引言/小结/习题相关承诺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7 处超长清单压缩至 40 行内；Servlet 版本表述更新并在章首声明技术栈版本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不改的风险：事务/公式/Security 错误会被学生复制进课程设计与毕业设计，属教学事故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WP4 第6章公式与事实硬伤修复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透视投影矩阵改标准形式，消除 f 双重含义；坐标系清单补观察/裁剪坐标系，"模视投矩阵"改 MVP 矩阵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CGCS2000 改 EPSG:4490、椭球表述更正；投影带号改我国实际带号；proj4 改 +proj=tmerc；"加速度重力异常"改高程异常并修正量级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WMS/WMTS 区分；Cesium3DTileset.fromUrl 改 await；GLTFLoader 改官方路径；WebGL 统一按 WebGL2 讲授；Bing 底图示例换天地图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6.3.7 中误差改 m_x/m_y/m_h 三式并用 equation 自动编号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IFC 表述更新至 4.3 水工实体，修正 IfcDoor/IfcFurniture/IfcStructuralMember 误用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章标题统一为"智慧水利三维场景构建"；双小结合并；习题 2、3 替换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不改的风险：坐标系/投影错误对水利专业学生是方向性误导，且极易被审读专家抓住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WP5 SafeHome 与论文拼接残留清扫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ch3 四处硬残留：armSystem/disarmSystem、入侵检测、在家/外出模式、安全防护面板段——按水库监测语义逐处重写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ch3 游戏事件案例删除展开水库告警事件流；社交内容管理例子替换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ch6 6.3 论文腔清除（"本文""经多次实验""经济效益"）；\paragraph{6.4.x} 硬编码编号删除；6.3.3 与 6.3.5 合并去重，BIM 节后置；特征点/像控点概念更正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不改的风险：SafeHome 是《软件工程》教材经典案例，残留会让审读者立刻识破改写来源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WP6 第7章 UTM 路线纠正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7.3.1 重写：CGCS2000+高斯-克吕格为主线，UTM 降为一段国际对比；节小结同步修改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本节聚焦"地理坐标→Three.js 场景局部坐标"这一新增量，共性内容引用第6章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射线拾取 scene 未定义、Möller-Trumbore 原地修改、触摸拾取变量与单位、长按检测、实时流图表 5 处代码修复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不改的风险：两章技术路线打架，学生无所适从；UTM 指引在国内工程语境属错误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WP7 第8章习题重编与技术栈统一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12 道旧运维章习题整体重编：按 8.1–8.5 主线出题，保留 2–3 道部署题，预留数字孪生设计题题位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技术栈统一（数据库、后端语言、三维库三处矛盾），补 Cesium 选型说明或改用 Three.js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AutoRecoverySystem 非法语法、水体着色器变量自引用、DataQualityController 逻辑不闭环修复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设定一组自洽虚拟工程参数（坝型/坝高/库容/测点数）全章复用；importantbox/学习目标/小结三处主线宣称统一；8.5 节内残留章级要素清理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不改的风险：习题与正文完全脱节是教学检查中最显眼的硬伤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WP8 全书结构口径统一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确定唯一的三部分划分（建议：基础篇1–3、技术篇4–7、应用篇8–9，或与教学大纲对齐），前言、第1章前瞻引用、第9章 9.1 三处联动改写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时间线统一（前言落款/9.2 标题日期）；第9章习题迁往第8章或附录；9.4 致谢删除；第1章 1.3.4 前瞻引用按实际章目改写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不改的风险：前言与结语矛盾是读者最容易发现的低级错误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WP9 第1、2章事实与要素修复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ch1：防洪标准表述改正、"堡垒水库"换真实可查案例、政策时间线重写、WaterML/文心一言等技术表述修正、补 0.5–1 页贯穿场景案例、习题超纲项处理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ch2：学习目标按实际内容重写（删架构/UML/测试承诺）、流程图箭头修正、符号表规范编号、数据字典模板退化重做、2.3/2.4 调序、错字与引号修复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ch1 1.3 与 ch2 生命周期重复压缩（ch1 保留动机性引导）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不改的风险：导论章事实硬伤直接影响全书可信度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批次二（P1）：内容建设（51World 融入 + 文献 + 补强）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批次目标：完成数字孪生内容体系建设与教材学术规范建设，是本轮修改的增量价值所在。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500"/>
        <w:gridCol w:w="900"/>
        <w:gridCol w:w="900"/>
        <w:gridCol w:w="2860"/>
      </w:tblGrid>
      <w:tr>
        <w:trPr>
          <w:tblHeader/>
        </w:trPr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30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工作包</w:t>
            </w:r>
          </w:p>
        </w:tc>
        <w:tc>
          <w:tcPr>
            <w:tcW w:type="dxa" w:w="15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86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依赖与顺序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WP10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第6章 6.4 重写：数字孪生水利平台架构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chapter06.tex, tikz-diagrams.tex, references.bib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实质性写作（10–12页）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大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WP4、WP8 完成后；先于 WP11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WP11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第8章新增 8.5 节：数字孪生案例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chapter08.tex, references.bib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实质性写作（12–15页）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大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串行于 WP10（概念先行）；与 WP7 习题联动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WP12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参考文献系统性扩充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references.bib, 全部章节 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文献工作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WP10/WP11 后（含其新增引用）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WP13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跨章重复内容压缩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chapter01/02/03/06/07.tex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结构调整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WP4、WP6 后；可与 WP12 并行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WP14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案例与图表补强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chapter01/03/07.tex, tikz-diagrams.tex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写作+绘图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可与 WP12/13 并行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WP10 第6章 6.4 重写：数字孪生水利平台架构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6.4.1 政策与技术框架：数字孪生流域"数据底板—模型平台—知识平台"，L1/L2/L3 分级与本章 DEM/倾斜摄影/BIM 对应，"四预"业务闭环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6.4.2 总体架构（以 51WIM 为实例）：孪生底座+行业插件 API+BFF 算法解耦（14 接口节选），新增总体技术架构 TikZ 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6.4.3 空间化表达与交互范式：总览/联动/计算/预演/决策五范式，工程安全三维分析五手段，新增四预闭环 TikZ 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6.4.4 AI 智能助手与数字孪生：世界模型+业务动作编排+调度闭环，指令示例表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五维模型按陶飞原文修正并补引用；删三段 Python 伪代码；"元宇宙"趋势压缩；配套修订本章习题与小结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不改的风险：不做则第6章数字孪生名不副实，前三节内容无归宿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WP11 第8章新增 8.5 节：数字孪生案例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8.5.1 案例背景与建设目标（木兰溪流域、三大业务入口、国产化环境）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8.5.2 数字孪生水网：供水态势/联合调度/防台预演完整链路（历史台风+自定义降雨→淹没时序→空间智能分析→疏散路线）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8.5.3 水库矩阵"四预"核心交互：闸门正逆向计算、三级预警预演动画、工程安全三维分析，与 8.4 能力对比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8.5.4 AI 助手驱动的调度会商（语音指令贯穿动线）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8.5.5 案例启示与工程实践；原 8.5 顺延 8.6；新增 2–3 道数字孪生设计题；前言/第9章导览联动补句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图表：先以 TikZ 重绘为主（平台功能结构图、防台预演流程图、四预交互时序图），截图待 D4 授权确认后替换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不改的风险：素材时效性强（2026年6月版DEMO），拖延则版本过期需重新核对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WP12 参考文献系统性扩充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为零引用的第 1、4、5、7、8 章补引用：官方文档（Vue/Spring/Three.js/Cesium）、水利行业标准（SL 601、SL 725、SL 651、GB/T 51416 等）、数字孪生流域建设技术大纲系列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新增 51WIM 手册与功能清单 2 条；修复 GB2006 机构名、LoRaWAN 年份、digitalChina2023 来源等条目错误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清理 34 条死条目（保留确有价值者转为各章引用）；目标全书有效引用 50–60 条；出版前点验全部在线链接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样式切换 biblatex-gb7714-2015（与 WP18 联动）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不改的风险：文献覆盖不足是教材评审的常规扣分项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WP13 跨章重复内容压缩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LOD/实例化/聚合/剔除四讲合一：第6章保留原理，第7章只讲监测点特有应用并交叉引用，统一阈值口径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坐标转换两讲归一（第6章为准）；分层架构三讲合并；生命周期两讲压缩；四层架构图两章归一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7.1 瘦身为"面向可视化的数据准备"；ch3 篇幅压缩 10–15%；两处"两版合并"重复段删除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不改的风险：重复且口径不一是"多人拼稿"的典型痕迹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WP14 案例与图表补强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ch1 补贯穿场景案例（一次洪水预警从传感器到大屏）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ch3 补用例图、类图 TikZ 示例，3.1.2 补时序图小节+告警时序图；3.4 补 ATAM 迷你演练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ch7 补贯穿案例（某水库监测数据三维展示）与 LOD/拾取/聚合示意图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ch2 补 SRS 模板目录节选支撑习题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不改的风险：图例不足直接影响教材易学性评价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批次三（P2）：编辑加工与终验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批次目标：语言、格式、体例全书统一，完成出版规范建设与最终验证。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500"/>
        <w:gridCol w:w="900"/>
        <w:gridCol w:w="900"/>
        <w:gridCol w:w="2860"/>
      </w:tblGrid>
      <w:tr>
        <w:trPr>
          <w:tblHeader/>
        </w:trPr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30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工作包</w:t>
            </w:r>
          </w:p>
        </w:tc>
        <w:tc>
          <w:tcPr>
            <w:tcW w:type="dxa" w:w="15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86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依赖与顺序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WP15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语言清理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全部 tex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文字修改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批次二完成后（避免改后又新增）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WP16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格式与体例统一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全部 tex, tikz-diagrams.tex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格式修改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可与 WP15 并行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WP17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习题体系统一与补齐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全部章节习题区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写作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WP15/16 后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WP18</w:t>
            </w:r>
          </w:p>
        </w:tc>
        <w:tc>
          <w:tcPr>
            <w:tcW w:type="dxa" w:w="23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出版规范建设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main.tex, 全部 tex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排版工作</w:t>
            </w:r>
          </w:p>
        </w:tc>
        <w:tc>
          <w:tcPr>
            <w:tcW w:type="dxa" w:w="9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最后阶段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WP19</w:t>
            </w:r>
          </w:p>
        </w:tc>
        <w:tc>
          <w:tcPr>
            <w:tcW w:type="dxa" w:w="23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全书终验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全书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验证</w:t>
            </w:r>
          </w:p>
        </w:tc>
        <w:tc>
          <w:tcPr>
            <w:tcW w:type="dxa" w:w="9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sz w:val="19"/>
                <w:szCs w:val="19"/>
              </w:rPr>
              <w:t xml:space="preserve">小</w:t>
            </w:r>
          </w:p>
        </w:tc>
        <w:tc>
          <w:tcPr>
            <w:tcW w:type="dxa" w:w="28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sz w:val="19"/>
                <w:szCs w:val="19"/>
              </w:rPr>
              <w:t xml:space="preserve">全部 WP 完成后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WP15 语言清理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"很重要""值得关注"批量口头禅逐处消除（ch2/3/5 共 20 处）；AI 腔宣传语降调（ch7/8 密集区）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节小结模板化改写（ch7 四节同构小结）；自评式收尾句删除；口语化比喻规范化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按 humanizer-zh 规则做一轮全书扫描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不改的风险：语言腔调是审读专家对"AI 代笔"的主要怀疑点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WP16 格式与体例统一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Markdown 残留破折号列表全书转 itemize（ch6/7 大面积）；'' 引号全书统一中文引号；连字符空格规范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表格统一三线表；\paragraph 手工编号清理；层级规范（subsubsection）；无用 label 清理、旧命名（bank-ER 等）重命名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学习目标层级、节小结有无、"下一节预告"、习题分组三类体例全书统一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术语统一表落地（ContextCapture、实景三维模型、Apache ECharts 等），缩写首现给全称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不改的风险：体例不一是出版社编辑退回重排的常见原因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WP17 习题体系统一与补齐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全书统一"概念理解/设计编程/应用创新"三类分组与客观题配比；超纲题清理（ch1/2/5/6 各处）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编程题量级校准（拆解"开发完整系统"级大题）；各章题量均衡（8–15 题）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不改的风险：习题质量直接决定教材可用性评价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WP18 出版规范建设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补扉页；参考文献样式切 biblatex-gb7714-2015；graphicspath 收拢；algorithm 宏包清理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 个 longtable 补 caption、143 个 lstlisting 补 caption（清偿 4 月精修遗留 2 项）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裸 \newpage 清理；表格 label 补齐并引用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不改的风险：不做则出版社排版阶段返工</w:t>
      </w:r>
    </w:p>
    <w:p>
      <w:pPr>
        <w:pStyle w:val="Heading3"/>
        <w:spacing w:after="120" w:before="240"/>
      </w:pPr>
      <w:r>
        <w:rPr>
          <w:rFonts w:ascii="Arial" w:eastAsia="SimHei"/>
          <w:b/>
          <w:bCs/>
          <w:color w:val="1F4E79"/>
          <w:sz w:val="23"/>
          <w:szCs w:val="23"/>
        </w:rPr>
        <w:t xml:space="preserve">WP19 全书终验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全书编译零错误零警告（overfull 除外）；PDF 逐章抽版检查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交叉引用/图表编号/文献引用点验；在线链接可达性点验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输出《修改记录-第三轮》总表（每项对应审计条目编号），供存档与后续审读</w:t>
      </w:r>
    </w:p>
    <w:p>
      <w:pPr>
        <w:spacing w:after="60" w:before="80" w:line="300"/>
      </w:pPr>
      <w:r>
        <w:rPr>
          <w:rFonts w:ascii="Times New Roman" w:eastAsia="SimSun"/>
          <w:color w:val="833C00"/>
          <w:sz w:val="21"/>
          <w:szCs w:val="21"/>
        </w:rPr>
        <w:t xml:space="preserve">不改的风险：—</w:t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三、实施顺序与并行关系</w:t>
      </w:r>
    </w:p>
    <w:p>
      <w:pPr>
        <w:spacing w:after="60" w:before="60" w:line="300"/>
      </w:pPr>
      <w:r>
        <w:rPr>
          <w:rFonts w:ascii="Times New Roman" w:eastAsia="SimSun"/>
          <w:b/>
          <w:bCs/>
          <w:sz w:val="21"/>
          <w:szCs w:val="21"/>
        </w:rPr>
        <w:t xml:space="preserve">串行主线（必须依序）：</w:t>
      </w:r>
    </w:p>
    <w:p>
      <w:pPr>
        <w:spacing w:after="60" w:before="60" w:line="300"/>
        <w:ind w:left="360"/>
      </w:pPr>
      <w:r>
        <w:rPr>
          <w:rFonts w:ascii="Times New Roman" w:eastAsia="SimSun"/>
          <w:sz w:val="21"/>
          <w:szCs w:val="21"/>
        </w:rPr>
        <w:t xml:space="preserve">WP1（编译修复）→ WP8（全书口径）→ 批次一其余工作包 → WP10（6.4 重写）→ WP11（8.5 新增）→ WP12（文献）→ 批次三 → WP19（终验）</w:t>
      </w:r>
    </w:p>
    <w:p>
      <w:pPr>
        <w:spacing w:after="60" w:before="120" w:line="300"/>
      </w:pPr>
      <w:r>
        <w:rPr>
          <w:rFonts w:ascii="Times New Roman" w:eastAsia="SimSun"/>
          <w:b/>
          <w:bCs/>
          <w:sz w:val="21"/>
          <w:szCs w:val="21"/>
        </w:rPr>
        <w:t xml:space="preserve">批次内并行组：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批次一：WP2、WP3 可并行；WP4+WP5 可并行；WP6 须在 WP4 后；WP7、WP9 可穿插进行；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批次二：WP13、WP14 可与 WP12 并行；WP10→WP11 严格串行（8.5 案例引用 6.4 概念）；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批次三：WP15、WP16 可并行，之后 WP17→WP18→WP19 串行收尾。</w:t>
      </w:r>
    </w:p>
    <w:p>
      <w:pPr>
        <w:spacing w:after="60" w:before="120" w:line="300"/>
      </w:pPr>
      <w:r>
        <w:rPr>
          <w:rFonts w:ascii="Times New Roman" w:eastAsia="SimSun"/>
          <w:b/>
          <w:bCs/>
          <w:sz w:val="21"/>
          <w:szCs w:val="21"/>
        </w:rPr>
        <w:t xml:space="preserve">里程碑与验证点：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M1（批次一完）：全书编译通过，42 项高严重度问题清零，输出修改记录第一部分 + git 提交；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M2（批次二完）：6.4/8.5 成稿，全书编译，文献 50+ 条，输出修改记录第二部分 + git 提交；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M3（批次三完）：182 项全闭环，零错误编译，逐章抽版，输出《修改记录-第三轮》总表 + git 提交。</w:t>
      </w:r>
    </w:p>
    <w:p>
      <w:pPr>
        <w:spacing w:after="60" w:before="120" w:line="300"/>
      </w:pPr>
      <w:r>
        <w:rPr>
          <w:rFonts w:ascii="Times New Roman" w:eastAsia="SimSun"/>
          <w:sz w:val="21"/>
          <w:szCs w:val="21"/>
        </w:rPr>
        <w:t xml:space="preserve">工作量总估：批次一约占 45%（其中 WP2、WP3 为大头），批次二约 35%（WP10、WP11 为写作重心），批次三约 20%。若按工作节奏折算，批次一约 2–3 个工作日当量，批次二约 2 个工作日当量，批次三约 1–1.5 个工作日当量。</w:t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四、需要你决策的事项（7 项）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以下决策不做不阻塞批次一开工（D1、D2、D5 除外），但建议尽早明确：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160"/>
        <w:gridCol w:w="150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00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5160"/>
            <w:shd w:fill="1F4E79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选项与建议</w:t>
            </w:r>
          </w:p>
        </w:tc>
        <w:tc>
          <w:tcPr>
            <w:tcW w:type="dxa" w:w="1500"/>
            <w:shd w:fill="1F4E79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19"/>
                <w:szCs w:val="19"/>
              </w:rPr>
              <w:t xml:space="preserve">需明确时点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第4章 Router/Pinia 处理</w:t>
            </w:r>
          </w:p>
        </w:tc>
        <w:tc>
          <w:tcPr>
            <w:tcW w:type="dxa" w:w="51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A. 补写教学小节（约4页，推荐——章末交付物已要求相关工程，删承诺则第4章 Vue 教学不完整）；B. 降低交付要求并改小结（省工时）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WP2 开工前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第5章消息队列处理</w:t>
            </w:r>
          </w:p>
        </w:tc>
        <w:tc>
          <w:tcPr>
            <w:tcW w:type="dxa" w:w="51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A. 补写消息队列小节（约3页，推荐——习题14已考此内容，且第8章告警链路会用到）；B. 删除引言/小结/习题相关承诺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WP3 开工前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第8章章名</w:t>
            </w:r>
          </w:p>
        </w:tc>
        <w:tc>
          <w:tcPr>
            <w:tcW w:type="dxa" w:w="51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现为"贯穿案例：水利工程安全监测平台"，知识点大纲称"智慧水利平台典型应用"——请确认以哪个为准（新增 8.5 数字孪生节后建议改为后者，涵盖面更准确）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WP7 前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51WIM 截图授权</w:t>
            </w:r>
          </w:p>
        </w:tc>
        <w:tc>
          <w:tcPr>
            <w:tcW w:type="dxa" w:w="51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截图直接入书需北京五一视界书面授权。方案默认先 TikZ 重绘+文字描述，授权到位后替换关键截图（建议 3–5 张：门户、淹没热力渲染、大坝水晶体）。请确认是否去函申请授权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不阻塞开工，WP11 排版前明确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技术栈版本基线</w:t>
            </w:r>
          </w:p>
        </w:tc>
        <w:tc>
          <w:tcPr>
            <w:tcW w:type="dxa" w:w="51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建议全书统一声明：Vue 3.4+、Spring Boot 3.2+/Security 6、Java 17、Three.js r160+、Cesium 1.11x、Jakarta EE。请确认或指定版本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WP2/WP3 开工前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D6</w:t>
            </w:r>
          </w:p>
        </w:tc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参考文献规模</w:t>
            </w:r>
          </w:p>
        </w:tc>
        <w:tc>
          <w:tcPr>
            <w:tcW w:type="dxa" w:w="516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建议目标 50–60 条有效引用（现印出约19条）。请确认规模预期</w:t>
            </w:r>
          </w:p>
        </w:tc>
        <w:tc>
          <w:tcPr>
            <w:tcW w:type="dxa" w:w="15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WP12 前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D7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docs（mkdocs 在线版）回同步</w:t>
            </w:r>
          </w:p>
        </w:tc>
        <w:tc>
          <w:tcPr>
            <w:tcW w:type="dxa" w:w="516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本方案以 tex 为唯一基线，docs 的 md 不在本轮范围。tex 定稿后是否要把精修+新增内容反向同步到在线版，建议另立一轮（涉及 tex→md 转换与分节）</w:t>
            </w:r>
          </w:p>
        </w:tc>
        <w:tc>
          <w:tcPr>
            <w:tcW w:type="dxa" w:w="15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本轮结束后决策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五、整体验收标准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审计 182 项逐项有处理结论（目标：高/中全部整改，低允许≤5 项经确认后豁免）；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全书 XeLaTeX 编译零 Error；图表全部有 caption+label+文内引用；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第6章 6.4 与第8章 8.5 新内容经你审读认可，51WIM 引用合规（文献2条+来源标注，截图视 D4 结论）；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参考文献达到 D6 确认的规模，全部在线链接点验可达；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前言—正文—结语结构口径、术语、体例三统一，抽查任意 3 章无 Markdown 残留与引号错误。</w:t>
      </w:r>
    </w:p>
    <w:p>
      <w:pPr>
        <w:spacing w:after="60" w:before="160" w:line="300"/>
      </w:pPr>
      <w:r>
        <w:rPr>
          <w:rFonts w:ascii="Times New Roman" w:eastAsia="SimSun"/>
          <w:color w:val="404040"/>
          <w:sz w:val="21"/>
          <w:szCs w:val="21"/>
        </w:rPr>
        <w:t xml:space="preserve">方案批准后即可从 WP1 开工。建议第一句回复直接给出 D1、D2、D5 三项决策（其余可后置），我随即开始批次一。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2026-08-05T01:30:04.676Z</dcterms:created>
  <dcterms:modified xsi:type="dcterms:W3CDTF">2026-08-05T01:30:04.689Z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