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Ostiari + AxonLLM</w:t>
      </w:r>
    </w:p>
    <w:p>
      <w:pPr>
        <w:pStyle w:val="Subtitle"/>
      </w:pPr>
      <w:r>
        <w:t xml:space="preserve">3-Year Funding &amp; Operational Plan | July 2026</w:t>
      </w:r>
    </w:p>
    <w:p>
      <w:r>
        <w:rPr>
          <w:i/>
          <w:iCs/>
          <w:color w:val="666666"/>
          <w:sz w:val="24"/>
          <w:szCs w:val="24"/>
        </w:rPr>
        <w:t xml:space="preserve">Investment justification for the full-stack AI governance platform (model routing + agent safety)</w:t>
      </w:r>
    </w:p>
    <w:p>
      <w:pPr>
        <w:spacing w:after="200"/>
      </w:pPr>
      <w:r>
        <w:rPr>
          <w:b/>
          <w:bCs/>
          <w:color w:val="CC0000"/>
          <w:sz w:val="18"/>
          <w:szCs w:val="18"/>
        </w:rPr>
        <w:t xml:space="preserve">CONFIDENTIAL</w:t>
      </w:r>
    </w:p>
    <w:p>
      <w:pPr>
        <w:pStyle w:val="Heading1"/>
      </w:pPr>
      <w:r>
        <w:t xml:space="preserve">1. Funding Summary</w:t>
      </w:r>
    </w:p>
    <w:p>
      <w:r>
        <w:rPr>
          <w:b/>
          <w:bCs/>
          <w:color w:val="232F3E"/>
          <w:sz w:val="28"/>
          <w:szCs w:val="28"/>
        </w:rPr>
        <w:t xml:space="preserve">Total 3-Year Investment Required: $24.15M</w:t>
      </w:r>
    </w:p>
    <w:p>
      <w:r>
        <w:t xml:space="preserve">This document details the capital requirements to launch the Ostiari + AxonLLM full-stack AI governance platform as a managed SaaS product, build an engineering team from 7 to 30 people, achieve SOC 2/HIPAA compliance, and scale to $12.5M ARR by Year 3. The combined platform provides model routing governance (AxonLLM) and agent runtime safety (Ostiari) — a unique value proposition no competitor offers.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3-Year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Engineering &amp; Headcount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$2.17M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$4.80M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$9.90M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$16.87M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Infrastructure (AWS)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$900K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$1.35M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Compliance &amp;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$175K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$240K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$390K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$805K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Go-to-Market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$395K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$975K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$1.57M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$2.94M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G&amp;A (Office, Legal, Ops)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$310K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$635K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$1.24M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$2.19M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TOTAL OPERATING COSTS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$3.15M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$7.0M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$14.0M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$24.15M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Projected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$3.2M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$12.5M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$16.1M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Net Capital Requirement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$2.75M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$3.8M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$1.5M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$8.05M</w:t>
            </w:r>
          </w:p>
        </w:tc>
      </w:tr>
    </w:tbl>
    <w:p>
      <w:pPr>
        <w:spacing w:before="100"/>
      </w:pPr>
      <w:r>
        <w:rPr>
          <w:i/>
          <w:iCs/>
          <w:color w:val="888888"/>
          <w:sz w:val="18"/>
          <w:szCs w:val="18"/>
        </w:rPr>
        <w:t xml:space="preserve">Net capital requirement ($8.05M) represents the minimum investment needed after revenue offsets. Total OpEx ($24.15M) is the gross operating cost if zero revenue is generated.</w:t>
      </w:r>
    </w:p>
    <w:p>
      <w:pPr>
        <w:pStyle w:val="Heading1"/>
      </w:pPr>
      <w:r>
        <w:t xml:space="preserve">2. Engineering &amp; Headcount</w:t>
      </w:r>
    </w:p>
    <w:p>
      <w:r>
        <w:t xml:space="preserve">Engineering is the largest cost center (70% of total spend). Salaries are benchmarked against Series A startups in NYC/SF markets (Recruiting from Scratch, June 2026; Carta H2 2025 report). All figures are fully-loaded (base + benefits + payroll taxes + equipment), using a 1.35x multiplier on base salary.</w:t>
      </w:r>
    </w:p>
    <w:p>
      <w:pPr>
        <w:pStyle w:val="Heading2"/>
      </w:pPr>
      <w:r>
        <w:t xml:space="preserve">Year 1 Team (7 FTEs) — $2.17M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Base Salary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Loaded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Annual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Senior Backend (Python/Rust)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$220K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$297K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$1,188K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Senior Frontend (React)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$270K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$270K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SRE / DevOps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$210K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$284K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$284K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 / AI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$210K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$284K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$284K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Recruiting/Onboarding Costs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$144K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TOTAL YEAR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$2,170K</w:t>
            </w:r>
          </w:p>
        </w:tc>
      </w:tr>
    </w:tbl>
    <w:p>
      <w:pPr>
        <w:pStyle w:val="Heading2"/>
      </w:pPr>
      <w:r>
        <w:t xml:space="preserve">Year 2 Team (15 FTEs) — $4.80M</w:t>
      </w:r>
    </w:p>
    <w:p>
      <w:r>
        <w:t xml:space="preserve">Additions: +1 Engineering Manager ($250K base), +3 Senior Backend ($220K), +2 Frontend ($200K), +1 SRE ($210K), +1 ML Engineer ($210K). Includes salary adjustments for Year 1 hires (5% merit increase) and recruiting costs for 8 new hires ($20K/hire average).</w:t>
      </w:r>
    </w:p>
    <w:p>
      <w:pPr>
        <w:pStyle w:val="Heading2"/>
      </w:pPr>
      <w:r>
        <w:t xml:space="preserve">Year 3 Team (30 FTEs) — $9.90M</w:t>
      </w:r>
    </w:p>
    <w:p>
      <w:r>
        <w:t xml:space="preserve">Additions: +1 VP Engineering ($300K base), +2 Engineering Managers ($250K), +5 Senior Backend, +3 Frontend, +2 SRE, +2 ML Engineers. Year 3 loaded average = $330K/person reflecting seniority mix and merit increases. Recruiting costs for 15 new hires ($300K total).</w:t>
      </w:r>
    </w:p>
    <w:p>
      <w:pPr>
        <w:pStyle w:val="Heading1"/>
      </w:pPr>
      <w:r>
        <w:t xml:space="preserve">3. Infrastructure Costs (AWS)</w:t>
      </w:r>
    </w:p>
    <w:p>
      <w:r>
        <w:t xml:space="preserve">Ostiari's managed SaaS requires always-on compute for real-time policy evaluation at sub-50ms latency. Costs scale with API call volume as enterprise customers onboard. Benchmarked against similar AI gateway/proxy SaaS platforms (CloudZero, July 2026).</w:t>
      </w:r>
    </w:p>
    <w:p>
      <w:pPr>
        <w:pStyle w:val="Heading2"/>
      </w:pPr>
      <w:r>
        <w:t xml:space="preserve">Year 1: $100K (1M→10M calls/month ramp)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Monthly Cost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ECS Fargate 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$800–$4,000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Auto-scaling tasks for policy evaluation. Graviton for 20% savings.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RDS Aurora 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$500–$2,000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Multi-AZ for trace/audit storage. Serverless v2 for dev/staging.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ElastiCache 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$200–$800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cache, session state, rate limiting.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CloudFront + 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$150–$500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CDN, policy file distribution, trace archives.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Monitoring (CloudWatch/X-Ray)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$200–$500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metrics, traces, log groups, alarms.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WAF + Networking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$200–$500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WAF rules, NAT Gateway, data transfer.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Dev/Staging Environments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$400–$800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environments (dev/staging/prod). Dev runs on smaller instances.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ANNUAL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$80K–$120K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Avg $100K with reserved instance discounts (40% savings).</w:t>
            </w:r>
          </w:p>
        </w:tc>
      </w:tr>
    </w:tbl>
    <w:p>
      <w:pPr>
        <w:pStyle w:val="Heading2"/>
      </w:pPr>
      <w:r>
        <w:t xml:space="preserve">Year 2: $350K (10M→50M calls/month)</w:t>
      </w:r>
    </w:p>
    <w:p>
      <w:r>
        <w:t xml:space="preserve">Major scaling milestones: multi-region deployment (us-east-1 + us-west-2), production-grade RDS clusters, dedicated ElastiCache replication groups, enhanced monitoring with Datadog integration. Reserved Instances and Savings Plans reduce base costs by 30%.</w:t>
      </w:r>
    </w:p>
    <w:p>
      <w:pPr>
        <w:pStyle w:val="Heading2"/>
      </w:pPr>
      <w:r>
        <w:t xml:space="preserve">Year 3: $900K (50M→100M calls/month)</w:t>
      </w:r>
    </w:p>
    <w:p>
      <w:r>
        <w:t xml:space="preserve">Full production fleet: 3+ regions, disaster recovery, dedicated NAT infrastructure, high-throughput Kinesis streams for trace ingest, S3 Intelligent-Tiering for historical traces. EKS cluster with spot instances for non-critical workloads provides 40–60% compute savings.</w:t>
      </w:r>
    </w:p>
    <w:p>
      <w:pPr>
        <w:pStyle w:val="Heading1"/>
      </w:pPr>
      <w:r>
        <w:t xml:space="preserve">4. Compliance &amp; Security</w:t>
      </w:r>
    </w:p>
    <w:p>
      <w:r>
        <w:t xml:space="preserve">Enterprise sales require compliance certifications. SOC 2 Type II is table-stakes for SaaS; HIPAA opens healthcare verticals. Costs are benchmarked from Drata (April 2026), Sprinto (July 2026), and Synack (July 2026).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3-Year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 2 Type II (audit + prep)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$120K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Compliance Automation (Vanta/Drata)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$90K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HIPAA 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$90K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Penetration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$145K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 Bounty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$150K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Tooling (Snyk, GitHub Advanced Security)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$120K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$210K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$175K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$240K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$390K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$805K</w:t>
            </w:r>
          </w:p>
        </w:tc>
      </w:tr>
    </w:tbl>
    <w:p>
      <w:pPr>
        <w:spacing w:before="100"/>
      </w:pPr>
      <w:r>
        <w:rPr>
          <w:i/>
          <w:iCs/>
          <w:color w:val="888888"/>
          <w:sz w:val="18"/>
          <w:szCs w:val="18"/>
        </w:rPr>
        <w:t xml:space="preserve">Year 1 assumes first-time SOC 2 readiness + audit ($50K-$80K range) with Vanta automation. Bug bounty launches in Year 2 after product stabilization. Year 3 adds managed HackerOne program with expanded scope.</w:t>
      </w:r>
    </w:p>
    <w:p>
      <w:pPr>
        <w:pStyle w:val="Heading1"/>
      </w:pPr>
      <w:r>
        <w:t xml:space="preserve">5. Go-to-Market</w:t>
      </w:r>
    </w:p>
    <w:p>
      <w:r>
        <w:t xml:space="preserve">GTM strategy follows the open-source playbook: developer community first, enterprise sales second. Year 1 focuses on awareness and community building; Year 2 adds enterprise sales motions; Year 3 scales through partnerships and marketplace channels.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3-Year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Developer Advocacy (FTEs)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$200K 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$450K (2)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$700K (3)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$1,350K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Conference Sponsorships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$225K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 Marketing &amp; Docs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Community (Discord/Slack, meetups)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$80K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$120K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$230K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 / Paid Advertising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$120K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$360K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$395K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$975K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$1,570K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$2,940K</w:t>
            </w:r>
          </w:p>
        </w:tc>
      </w:tr>
    </w:tbl>
    <w:p>
      <w:pPr>
        <w:pStyle w:val="Heading2"/>
      </w:pPr>
      <w:r>
        <w:t xml:space="preserve">Conference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1: </w:t>
      </w:r>
      <w:r>
        <w:t xml:space="preserve">AWS re:Invent startup showcase ($35K), AI Engineer Summit ($15K), KubeCon Gold booth ($50K) — 3 events focused on developer awareness.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2: </w:t>
      </w:r>
      <w:r>
        <w:t xml:space="preserve">+ RSA Conference ($50K), additional KubeCon EU ($45K), AWS Summit NYC ($30K), targeted security conferences — 5-6 events with speaking slots.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3: </w:t>
      </w:r>
      <w:r>
        <w:t xml:space="preserve">+ re:Invent Gold ($100K), RSA expanded ($75K), industry-specific events (HIMSS for healthcare, Money20/20 for fintech) — 7-8 events with enterprise focus.</w:t>
      </w:r>
    </w:p>
    <w:p>
      <w:pPr>
        <w:pStyle w:val="Heading1"/>
      </w:pPr>
      <w:r>
        <w:t xml:space="preserve">6. General &amp; Administrative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3-Year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Office / Co-working space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$360K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$570K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Legal (incorporation, IP, contracts)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$80K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$120K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$180K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$380K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Insurance (D&amp;O, E&amp;O, cyber)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$80K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$160K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Accounting/Finance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SaaS Tools (Slack, GitHub, Notion, etc.)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$55K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$185K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Travel (non-conference)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$80K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$260K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Contingency Buffer (15%)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$120K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$270K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$430K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$310K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$635K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$1,240K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$2,185K</w:t>
            </w:r>
          </w:p>
        </w:tc>
      </w:tr>
    </w:tbl>
    <w:p>
      <w:pPr>
        <w:pStyle w:val="Heading1"/>
      </w:pPr>
      <w:r>
        <w:t xml:space="preserve">7. Cost-to-Revenue Bridge &amp; Break-Even Analysis</w:t>
      </w:r>
    </w:p>
    <w:p>
      <w:r>
        <w:t xml:space="preserve">The investment converts to revenue through the open-source-to-SaaS flywheel: community adoption drives awareness, which generates enterprise inbound leads, which convert to managed SaaS subscriptions.</w:t>
      </w:r>
    </w:p>
    <w:p>
      <w:pPr>
        <w:pStyle w:val="Heading2"/>
      </w:pPr>
      <w:r>
        <w:t xml:space="preserve">Revenue Assumptions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Enterprise ACV: </w:t>
      </w:r>
      <w:r>
        <w:t xml:space="preserve">$60K/year (range: $5K–$50K/month per customer based on volume)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Self-Serve ARPU: </w:t>
      </w:r>
      <w:r>
        <w:t xml:space="preserve">$1,200/year (avg $100/month per subscriber)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Sales Cycle: </w:t>
      </w:r>
      <w:r>
        <w:t xml:space="preserve">3–6 months (accelerated by open-source familiarity)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 Revenue Retention: </w:t>
      </w:r>
      <w:r>
        <w:t xml:space="preserve">130%+ (usage-based expansion as agents scale)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Gross Margin: </w:t>
      </w:r>
      <w:r>
        <w:t xml:space="preserve">75–80% (infrastructure is the primary COGS)</w:t>
      </w:r>
    </w:p>
    <w:p>
      <w:pPr>
        <w:pStyle w:val="Heading2"/>
      </w:pPr>
      <w:r>
        <w:t xml:space="preserve">Path to Break-Even</w:t>
      </w:r>
    </w:p>
    <w:p>
      <w:r>
        <w:t xml:space="preserve">At Year 3 projected revenue of $12.5M and costs of $14.0M, Ostiari reaches near-break-even with a net burn of only $1.5M. With the 130% NRR assumption, existing customer expansion alone projects $16.3M ARR entering Year 4 — exceeding costs and achieving profitability without new customer acquisition.</w:t>
      </w:r>
    </w:p>
    <w:p>
      <w:r>
        <w:rPr>
          <w:b/>
          <w:bCs/>
        </w:rPr>
        <w:t xml:space="preserve">Projected profitability: Q2 Year 4 (month 40)</w:t>
      </w:r>
    </w:p>
    <w:p>
      <w:pPr>
        <w:pStyle w:val="Heading2"/>
      </w:pPr>
      <w:r>
        <w:t xml:space="preserve">Funding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Milestone Triggers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Seed (Now)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$9M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 shipped, aws-samples approved, 24-month runway to $1.5M+ ARR and 15+ enterprise customers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Series A (Month 20–24)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$25–$40M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$1.5M+ ARR, 20+ enterprises, SOC 2 + HIPAA certified, Marketplace live, strong NRR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Series B (Month 36+)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$50–$80M (if needed)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$10M+ ARR, 80+ enterprises, international expansion. May not be needed if Series A well-sized.</w:t>
            </w:r>
          </w:p>
        </w:tc>
      </w:tr>
    </w:tbl>
    <w:p>
      <w:pPr>
        <w:spacing w:before="100"/>
      </w:pPr>
      <w:r>
        <w:rPr>
          <w:i/>
          <w:iCs/>
          <w:color w:val="888888"/>
          <w:sz w:val="18"/>
          <w:szCs w:val="18"/>
        </w:rPr>
        <w:t xml:space="preserve">Note: The $9M seed covers Year 1 fully and bridges into Year 2 ($3.15M Y1 + $5.85M into Y2). This larger seed eliminates the need for a bridge round and provides negotiating leverage for Series A. Comparable exit valuations ($300M–$700M at $2–5M revenue) suggest acquisition interest may emerge before Series B.</w:t>
      </w:r>
    </w:p>
    <w:p>
      <w:pPr>
        <w:pStyle w:val="Heading1"/>
      </w:pPr>
      <w:r>
        <w:t xml:space="preserve">8. Key Assumptions &amp; Data Sources</w:t>
      </w: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</w:pPr>
      <w:r>
        <w:t xml:space="preserve">NYC/SF salary benchmarks (Recruiting from Scratch, June 2026; Carta H2 2025)</w:t>
      </w:r>
    </w:p>
    <w:p>
      <w:pPr>
        <w:pStyle w:val="ListParagraph"/>
        <w:numPr>
          <w:ilvl w:val="0"/>
          <w:numId w:val="2"/>
        </w:numPr>
      </w:pPr>
      <w:r>
        <w:t xml:space="preserve">1.35x fully-loaded multiplier on base salary (benefits, taxes, equipment)</w:t>
      </w:r>
    </w:p>
    <w:p>
      <w:pPr>
        <w:pStyle w:val="ListParagraph"/>
        <w:numPr>
          <w:ilvl w:val="0"/>
          <w:numId w:val="2"/>
        </w:numPr>
      </w:pPr>
      <w:r>
        <w:t xml:space="preserve">AWS costs assume 30% discount from Reserved Instances / Savings Plans</w:t>
      </w:r>
    </w:p>
    <w:p>
      <w:pPr>
        <w:pStyle w:val="ListParagraph"/>
        <w:numPr>
          <w:ilvl w:val="0"/>
          <w:numId w:val="2"/>
        </w:numPr>
      </w:pPr>
      <w:r>
        <w:t xml:space="preserve">Enterprise ACV of $60K/year (midpoint of $5K–$50K/month pricing)</w:t>
      </w:r>
    </w:p>
    <w:p>
      <w:pPr>
        <w:pStyle w:val="ListParagraph"/>
        <w:numPr>
          <w:ilvl w:val="0"/>
          <w:numId w:val="2"/>
        </w:numPr>
      </w:pPr>
      <w:r>
        <w:t xml:space="preserve">2–3x annual revenue growth (consistent with early-stage SaaS benchmarks)</w:t>
      </w:r>
    </w:p>
    <w:p>
      <w:pPr>
        <w:pStyle w:val="ListParagraph"/>
        <w:numPr>
          <w:ilvl w:val="0"/>
          <w:numId w:val="2"/>
        </w:numPr>
      </w:pPr>
      <w:r>
        <w:t xml:space="preserve">Market captures &lt;1% of $1.65B+ TAM by Year 3</w:t>
      </w:r>
    </w:p>
    <w:p>
      <w:pPr>
        <w:pStyle w:val="ListParagraph"/>
        <w:numPr>
          <w:ilvl w:val="0"/>
          <w:numId w:val="2"/>
        </w:numPr>
      </w:pPr>
      <w:r>
        <w:t xml:space="preserve">No fundraising fees or dilution costs included</w:t>
      </w:r>
    </w:p>
    <w:p>
      <w:pPr>
        <w:pStyle w:val="ListParagraph"/>
        <w:numPr>
          <w:ilvl w:val="0"/>
          <w:numId w:val="2"/>
        </w:numPr>
      </w:pPr>
      <w:r>
        <w:t xml:space="preserve">5% annual merit increases for existing employees</w:t>
      </w:r>
    </w:p>
    <w:p>
      <w:pPr>
        <w:pStyle w:val="ListParagraph"/>
        <w:numPr>
          <w:ilvl w:val="0"/>
          <w:numId w:val="2"/>
        </w:numPr>
      </w:pPr>
      <w:r>
        <w:t xml:space="preserve">$20K average recruiting cost per engineering hire</w:t>
      </w:r>
    </w:p>
    <w:p>
      <w:pPr>
        <w:pStyle w:val="Heading2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MarketsandMarkets: Agentic AI Security Market Report 2026–2032 (May 2026)</w:t>
      </w:r>
    </w:p>
    <w:p>
      <w:pPr>
        <w:pStyle w:val="ListParagraph"/>
        <w:numPr>
          <w:ilvl w:val="0"/>
          <w:numId w:val="2"/>
        </w:numPr>
      </w:pPr>
      <w:r>
        <w:t xml:space="preserve">Recruiting from Scratch: Series A Engineering Salary Guide 2026 (June 2026)</w:t>
      </w:r>
    </w:p>
    <w:p>
      <w:pPr>
        <w:pStyle w:val="ListParagraph"/>
        <w:numPr>
          <w:ilvl w:val="0"/>
          <w:numId w:val="2"/>
        </w:numPr>
      </w:pPr>
      <w:r>
        <w:t xml:space="preserve">Carta: State of Startup Compensation H2 2025 (July 2026)</w:t>
      </w:r>
    </w:p>
    <w:p>
      <w:pPr>
        <w:pStyle w:val="ListParagraph"/>
        <w:numPr>
          <w:ilvl w:val="0"/>
          <w:numId w:val="2"/>
        </w:numPr>
      </w:pPr>
      <w:r>
        <w:t xml:space="preserve">CloudZero: EKS/Aurora/ElastiCache Pricing Guides (July 2026)</w:t>
      </w:r>
    </w:p>
    <w:p>
      <w:pPr>
        <w:pStyle w:val="ListParagraph"/>
        <w:numPr>
          <w:ilvl w:val="0"/>
          <w:numId w:val="2"/>
        </w:numPr>
      </w:pPr>
      <w:r>
        <w:t xml:space="preserve">Drata / Sprinto / Synack: Compliance and pen testing cost benchmarks (2026)</w:t>
      </w:r>
    </w:p>
    <w:p>
      <w:pPr>
        <w:pStyle w:val="ListParagraph"/>
        <w:numPr>
          <w:ilvl w:val="0"/>
          <w:numId w:val="2"/>
        </w:numPr>
      </w:pPr>
      <w:r>
        <w:t xml:space="preserve">ISG: Enterprise AI Cybersecurity Spending Study (June 2026)</w:t>
      </w:r>
    </w:p>
    <w:p>
      <w:pPr>
        <w:pStyle w:val="ListParagraph"/>
        <w:numPr>
          <w:ilvl w:val="0"/>
          <w:numId w:val="2"/>
        </w:numPr>
      </w:pPr>
      <w:r>
        <w:t xml:space="preserve">Gartner: AI Agent Adoption and Security Predictions (April 2026)</w:t>
      </w:r>
    </w:p>
    <w:p>
      <w:pPr>
        <w:pStyle w:val="ListParagraph"/>
        <w:numPr>
          <w:ilvl w:val="0"/>
          <w:numId w:val="2"/>
        </w:numPr>
      </w:pPr>
      <w:r>
        <w:t xml:space="preserve">CBInsights / PitchBook: Protect AI and Lakera acquisition data (2025)</w:t>
      </w:r>
    </w:p>
    <w:p>
      <w:pPr>
        <w:spacing w:before="400"/>
        <w:jc w:val="center"/>
      </w:pPr>
      <w:r>
        <w:rPr>
          <w:b/>
          <w:bCs/>
          <w:color w:val="999999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CONFIDENTIAL | Ostiari 3-Year Funding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100"/>
      <w:jc w:val="left"/>
    </w:pPr>
    <w:rPr>
      <w:b/>
      <w:bCs/>
      <w:color w:val="232F3E"/>
      <w:sz w:val="56"/>
      <w:szCs w:val="56"/>
    </w:rPr>
  </w:style>
  <w:style w:type="paragraph" w:styleId="Subtitle">
    <w:name w:val="Subtitle"/>
    <w:basedOn w:val="Normal"/>
    <w:qFormat/>
    <w:pPr>
      <w:spacing w:after="400"/>
    </w:pPr>
    <w:rPr>
      <w:color w:val="666666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b/>
      <w:bCs/>
      <w:color w:val="FF9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2026-07-14T17:26:33.954Z</dcterms:created>
  <dcterms:modified xsi:type="dcterms:W3CDTF">2026-07-14T17:26:33.954Z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