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輝達 (NVDA) Q1 FY2026 財報分析</w:t>
      </w:r>
    </w:p>
    <w:p>
      <w:pPr>
        <w:jc w:val="center"/>
      </w:pPr>
      <w:r>
        <w:rPr>
          <w:color w:val="666666"/>
          <w:sz w:val="28"/>
        </w:rPr>
        <w:t>NVIDIA Q1 FY2026 Earnings Report</w:t>
      </w:r>
    </w:p>
    <w:p>
      <w:pPr>
        <w:jc w:val="center"/>
      </w:pPr>
      <w:r>
        <w:rPr>
          <w:color w:val="666666"/>
          <w:sz w:val="20"/>
        </w:rPr>
        <w:t>公告日期：2025年5月 | Q1 FY2026 (截至2025年4月)</w:t>
      </w:r>
    </w:p>
    <w:p/>
    <w:p>
      <w:pPr>
        <w:spacing w:before="240" w:after="120"/>
      </w:pPr>
      <w:r>
        <w:rPr>
          <w:b/>
          <w:color w:val="1F497D"/>
          <w:sz w:val="28"/>
        </w:rPr>
        <w:t>核心亮點</w:t>
      </w:r>
    </w:p>
    <w:p>
      <w:pPr>
        <w:pStyle w:val="ListBullet"/>
        <w:spacing w:after="60"/>
      </w:pPr>
      <w:r>
        <w:rPr>
          <w:b/>
          <w:sz w:val="24"/>
        </w:rPr>
        <w:t xml:space="preserve">季度營收: </w:t>
      </w:r>
      <w:r>
        <w:rPr>
          <w:b/>
          <w:sz w:val="24"/>
        </w:rPr>
        <w:t>$44.06B</w:t>
      </w:r>
      <w:r>
        <w:rPr>
          <w:color w:val="666666"/>
          <w:sz w:val="20"/>
        </w:rPr>
        <w:t xml:space="preserve"> (超預期)</w:t>
      </w:r>
    </w:p>
    <w:p>
      <w:pPr>
        <w:pStyle w:val="ListBullet"/>
        <w:spacing w:after="60"/>
      </w:pPr>
      <w:r>
        <w:rPr>
          <w:b/>
          <w:sz w:val="24"/>
        </w:rPr>
        <w:t xml:space="preserve">YoY營收成長: </w:t>
      </w:r>
      <w:r>
        <w:rPr>
          <w:b/>
          <w:color w:val="008000"/>
          <w:sz w:val="24"/>
        </w:rPr>
        <w:t>+69.2%</w:t>
      </w:r>
    </w:p>
    <w:p>
      <w:pPr>
        <w:pStyle w:val="ListBullet"/>
        <w:spacing w:after="60"/>
      </w:pPr>
      <w:r>
        <w:rPr>
          <w:b/>
          <w:sz w:val="24"/>
        </w:rPr>
        <w:t xml:space="preserve">GAAP稀釋EPS: </w:t>
      </w:r>
      <w:r>
        <w:rPr>
          <w:b/>
          <w:color w:val="008000"/>
          <w:sz w:val="24"/>
        </w:rPr>
        <w:t>$0.76</w:t>
      </w:r>
    </w:p>
    <w:p>
      <w:pPr>
        <w:pStyle w:val="ListBullet"/>
        <w:spacing w:after="60"/>
      </w:pPr>
      <w:r>
        <w:rPr>
          <w:b/>
          <w:sz w:val="24"/>
        </w:rPr>
        <w:t xml:space="preserve">Non-GAAP稀釋EPS: </w:t>
      </w:r>
      <w:r>
        <w:rPr>
          <w:b/>
          <w:color w:val="008000"/>
          <w:sz w:val="24"/>
        </w:rPr>
        <w:t>$0.81</w:t>
      </w:r>
      <w:r>
        <w:rPr>
          <w:color w:val="666666"/>
          <w:sz w:val="20"/>
        </w:rPr>
        <w:t xml:space="preserve"> (不含H20損失)</w:t>
      </w:r>
    </w:p>
    <w:p>
      <w:pPr>
        <w:pStyle w:val="ListBullet"/>
        <w:spacing w:after="60"/>
      </w:pPr>
      <w:r>
        <w:rPr>
          <w:b/>
          <w:sz w:val="24"/>
        </w:rPr>
        <w:t xml:space="preserve">Non-GAAP稀釋EPS（調整後）: </w:t>
      </w:r>
      <w:r>
        <w:rPr>
          <w:b/>
          <w:color w:val="008000"/>
          <w:sz w:val="24"/>
        </w:rPr>
        <w:t>$0.96</w:t>
      </w:r>
      <w:r>
        <w:rPr>
          <w:color w:val="666666"/>
          <w:sz w:val="20"/>
        </w:rPr>
        <w:t xml:space="preserve"> (不含$4.5B H20費用)</w:t>
      </w:r>
    </w:p>
    <w:p>
      <w:pPr>
        <w:pStyle w:val="ListBullet"/>
        <w:spacing w:after="60"/>
      </w:pPr>
      <w:r>
        <w:rPr>
          <w:b/>
          <w:sz w:val="24"/>
        </w:rPr>
        <w:t xml:space="preserve">GAAP毛利率: </w:t>
      </w:r>
      <w:r>
        <w:rPr>
          <w:b/>
          <w:color w:val="008000"/>
          <w:sz w:val="24"/>
        </w:rPr>
        <w:t>60.5%</w:t>
      </w:r>
    </w:p>
    <w:p>
      <w:pPr>
        <w:pStyle w:val="ListBullet"/>
        <w:spacing w:after="60"/>
      </w:pPr>
      <w:r>
        <w:rPr>
          <w:b/>
          <w:sz w:val="24"/>
        </w:rPr>
        <w:t xml:space="preserve">Non-GAAP毛利率: </w:t>
      </w:r>
      <w:r>
        <w:rPr>
          <w:b/>
          <w:color w:val="008000"/>
          <w:sz w:val="24"/>
        </w:rPr>
        <w:t>61.0%</w:t>
      </w:r>
      <w:r>
        <w:rPr>
          <w:color w:val="666666"/>
          <w:sz w:val="20"/>
        </w:rPr>
        <w:t xml:space="preserve"> (不含H20費用為71.3%)</w:t>
      </w:r>
    </w:p>
    <w:p/>
    <w:p>
      <w:pPr>
        <w:spacing w:before="240" w:after="120"/>
      </w:pPr>
      <w:r>
        <w:rPr>
          <w:b/>
          <w:color w:val="1F497D"/>
          <w:sz w:val="28"/>
        </w:rPr>
        <w:t>營收分析</w:t>
      </w:r>
    </w:p>
    <w:p>
      <w:pPr>
        <w:pStyle w:val="Heading2"/>
      </w:pPr>
      <w:r>
        <w:rPr>
          <w:color w:val="0066CC"/>
          <w:sz w:val="26"/>
        </w:rPr>
        <w:t>季度表現</w:t>
      </w:r>
    </w:p>
    <w:p>
      <w:pPr>
        <w:pStyle w:val="ListBullet"/>
        <w:spacing w:after="60"/>
      </w:pPr>
      <w:r>
        <w:rPr>
          <w:b/>
          <w:sz w:val="24"/>
        </w:rPr>
        <w:t xml:space="preserve">季度營收: </w:t>
      </w:r>
      <w:r>
        <w:rPr>
          <w:b/>
          <w:sz w:val="24"/>
        </w:rPr>
        <w:t>$44.06B</w:t>
      </w:r>
    </w:p>
    <w:p>
      <w:pPr>
        <w:pStyle w:val="ListBullet"/>
        <w:spacing w:after="60"/>
      </w:pPr>
      <w:r>
        <w:rPr>
          <w:b/>
          <w:sz w:val="24"/>
        </w:rPr>
        <w:t xml:space="preserve">YoY: </w:t>
      </w:r>
      <w:r>
        <w:rPr>
          <w:b/>
          <w:color w:val="008000"/>
          <w:sz w:val="24"/>
        </w:rPr>
        <w:t>+69.2%</w:t>
      </w:r>
      <w:r>
        <w:rPr>
          <w:color w:val="666666"/>
          <w:sz w:val="20"/>
        </w:rPr>
        <w:t xml:space="preserve"> (從$26.0B增長)</w:t>
      </w:r>
    </w:p>
    <w:p>
      <w:pPr>
        <w:pStyle w:val="ListBullet"/>
        <w:spacing w:after="60"/>
      </w:pPr>
      <w:r>
        <w:rPr>
          <w:b/>
          <w:sz w:val="24"/>
        </w:rPr>
        <w:t xml:space="preserve">資料中心: </w:t>
      </w:r>
      <w:r>
        <w:rPr>
          <w:b/>
          <w:sz w:val="24"/>
        </w:rPr>
        <w:t>$39.11B</w:t>
      </w:r>
      <w:r>
        <w:rPr>
          <w:color w:val="666666"/>
          <w:sz w:val="20"/>
        </w:rPr>
        <w:t xml:space="preserve"> (+73% YoY)</w:t>
      </w:r>
    </w:p>
    <w:p>
      <w:pPr>
        <w:pStyle w:val="ListBullet"/>
        <w:spacing w:after="60"/>
      </w:pPr>
      <w:r>
        <w:rPr>
          <w:b/>
          <w:sz w:val="24"/>
        </w:rPr>
        <w:t xml:space="preserve">網路產品: </w:t>
      </w:r>
      <w:r>
        <w:rPr>
          <w:b/>
          <w:sz w:val="24"/>
        </w:rPr>
        <w:t>$4.75B</w:t>
      </w:r>
      <w:r>
        <w:rPr>
          <w:color w:val="666666"/>
          <w:sz w:val="20"/>
        </w:rPr>
        <w:t xml:space="preserve"> (+64% QoQ)</w:t>
      </w:r>
    </w:p>
    <w:p>
      <w:pPr>
        <w:pStyle w:val="Heading2"/>
      </w:pPr>
      <w:r>
        <w:rPr>
          <w:color w:val="0066CC"/>
          <w:sz w:val="26"/>
        </w:rPr>
        <w:t>資料中心業務</w:t>
      </w:r>
    </w:p>
    <w:p>
      <w:pPr>
        <w:pStyle w:val="ListBullet"/>
        <w:spacing w:after="60"/>
      </w:pPr>
      <w:r>
        <w:rPr>
          <w:b/>
          <w:sz w:val="24"/>
        </w:rPr>
        <w:t xml:space="preserve">營收: </w:t>
      </w:r>
      <w:r>
        <w:rPr>
          <w:b/>
          <w:color w:val="008000"/>
          <w:sz w:val="24"/>
        </w:rPr>
        <w:t>$39.11B</w:t>
      </w:r>
      <w:r>
        <w:rPr>
          <w:color w:val="666666"/>
          <w:sz w:val="20"/>
        </w:rPr>
        <w:t xml:space="preserve"> (+73% YoY)</w:t>
      </w:r>
    </w:p>
    <w:p>
      <w:pPr>
        <w:pStyle w:val="ListBullet"/>
        <w:spacing w:after="60"/>
      </w:pPr>
      <w:r>
        <w:rPr>
          <w:b/>
          <w:sz w:val="24"/>
        </w:rPr>
        <w:t xml:space="preserve">佔總營收: </w:t>
      </w:r>
      <w:r>
        <w:rPr>
          <w:b/>
          <w:sz w:val="24"/>
        </w:rPr>
        <w:t>88.8%</w:t>
      </w:r>
    </w:p>
    <w:p>
      <w:pPr>
        <w:pStyle w:val="ListBullet"/>
        <w:spacing w:after="60"/>
      </w:pPr>
      <w:r>
        <w:rPr>
          <w:b/>
          <w:sz w:val="24"/>
        </w:rPr>
        <w:t xml:space="preserve">Blackwell平台: </w:t>
      </w:r>
      <w:r>
        <w:rPr>
          <w:b/>
          <w:sz w:val="24"/>
        </w:rPr>
        <w:t>快速放量中</w:t>
      </w:r>
    </w:p>
    <w:p>
      <w:pPr>
        <w:pStyle w:val="ListBullet"/>
        <w:spacing w:after="60"/>
      </w:pPr>
      <w:r>
        <w:rPr>
          <w:b/>
          <w:sz w:val="24"/>
        </w:rPr>
        <w:t xml:space="preserve">NVLink和Ethernet AI方案: </w:t>
      </w:r>
      <w:r>
        <w:rPr>
          <w:b/>
          <w:sz w:val="24"/>
        </w:rPr>
        <w:t>快速採用</w:t>
      </w:r>
    </w:p>
    <w:p/>
    <w:p>
      <w:pPr>
        <w:spacing w:before="240" w:after="120"/>
      </w:pPr>
      <w:r>
        <w:rPr>
          <w:b/>
          <w:color w:val="1F497D"/>
          <w:sz w:val="28"/>
        </w:rPr>
        <w:t>各業務線表現</w:t>
      </w:r>
    </w:p>
    <w:p>
      <w:pPr>
        <w:pStyle w:val="ListBullet"/>
        <w:spacing w:after="60"/>
      </w:pPr>
      <w:r>
        <w:rPr>
          <w:b/>
          <w:sz w:val="24"/>
        </w:rPr>
        <w:t xml:space="preserve">資料中心: </w:t>
      </w:r>
      <w:r>
        <w:rPr>
          <w:b/>
          <w:sz w:val="24"/>
        </w:rPr>
        <w:t>$39.11B</w:t>
      </w:r>
      <w:r>
        <w:rPr>
          <w:color w:val="666666"/>
          <w:sz w:val="20"/>
        </w:rPr>
        <w:t xml:space="preserve"> (+73% YoY)</w:t>
      </w:r>
    </w:p>
    <w:p>
      <w:pPr>
        <w:pStyle w:val="ListBullet"/>
        <w:spacing w:after="60"/>
      </w:pPr>
      <w:r>
        <w:rPr>
          <w:b/>
          <w:sz w:val="24"/>
        </w:rPr>
        <w:t xml:space="preserve">遊戲和AI PC: </w:t>
      </w:r>
      <w:r>
        <w:rPr>
          <w:b/>
          <w:color w:val="008000"/>
          <w:sz w:val="24"/>
        </w:rPr>
        <w:t>$3.8B</w:t>
      </w:r>
      <w:r>
        <w:rPr>
          <w:color w:val="666666"/>
          <w:sz w:val="20"/>
        </w:rPr>
        <w:t xml:space="preserve"> (+18% YoY)</w:t>
      </w:r>
    </w:p>
    <w:p>
      <w:pPr>
        <w:pStyle w:val="ListBullet"/>
        <w:spacing w:after="60"/>
      </w:pPr>
      <w:r>
        <w:rPr>
          <w:b/>
          <w:sz w:val="24"/>
        </w:rPr>
        <w:t xml:space="preserve">專業視覺化: </w:t>
      </w:r>
      <w:r>
        <w:rPr>
          <w:b/>
          <w:sz w:val="24"/>
        </w:rPr>
        <w:t>$0.45B</w:t>
      </w:r>
    </w:p>
    <w:p>
      <w:pPr>
        <w:pStyle w:val="ListBullet"/>
        <w:spacing w:after="60"/>
      </w:pPr>
      <w:r>
        <w:rPr>
          <w:b/>
          <w:sz w:val="24"/>
        </w:rPr>
        <w:t xml:space="preserve">汽車: </w:t>
      </w:r>
      <w:r>
        <w:rPr>
          <w:b/>
          <w:sz w:val="24"/>
        </w:rPr>
        <w:t>$0.57B</w:t>
      </w:r>
      <w:r>
        <w:rPr>
          <w:color w:val="666666"/>
          <w:sz w:val="20"/>
        </w:rPr>
        <w:t xml:space="preserve"> (+31% YoY)</w:t>
      </w:r>
    </w:p>
    <w:p/>
    <w:p>
      <w:pPr>
        <w:spacing w:before="240" w:after="120"/>
      </w:pPr>
      <w:r>
        <w:rPr>
          <w:b/>
          <w:color w:val="1F497D"/>
          <w:sz w:val="28"/>
        </w:rPr>
        <w:t>H20出口限制影響</w:t>
      </w:r>
    </w:p>
    <w:p>
      <w:pPr>
        <w:pStyle w:val="ListBullet"/>
        <w:spacing w:after="60"/>
      </w:pPr>
      <w:r>
        <w:rPr>
          <w:b/>
          <w:sz w:val="24"/>
        </w:rPr>
        <w:t xml:space="preserve">H20相關營收損失: </w:t>
      </w:r>
      <w:r>
        <w:rPr>
          <w:b/>
          <w:sz w:val="24"/>
        </w:rPr>
        <w:t>~$8B</w:t>
      </w:r>
      <w:r>
        <w:rPr>
          <w:color w:val="666666"/>
          <w:sz w:val="20"/>
        </w:rPr>
        <w:t xml:space="preserve"> (Q2指引中扣除)</w:t>
      </w:r>
    </w:p>
    <w:p>
      <w:pPr>
        <w:pStyle w:val="ListBullet"/>
        <w:spacing w:after="60"/>
      </w:pPr>
      <w:r>
        <w:rPr>
          <w:b/>
          <w:sz w:val="24"/>
        </w:rPr>
        <w:t xml:space="preserve">H20庫存和採購義務 charge: </w:t>
      </w:r>
      <w:r>
        <w:rPr>
          <w:b/>
          <w:sz w:val="24"/>
        </w:rPr>
        <w:t>$4.5B</w:t>
      </w:r>
    </w:p>
    <w:p>
      <w:pPr>
        <w:pStyle w:val="ListBullet"/>
        <w:spacing w:after="60"/>
      </w:pPr>
      <w:r>
        <w:rPr>
          <w:b/>
          <w:sz w:val="24"/>
        </w:rPr>
        <w:t xml:space="preserve">H20銷售金額: </w:t>
      </w:r>
      <w:r>
        <w:rPr>
          <w:b/>
          <w:sz w:val="24"/>
        </w:rPr>
        <w:t>$4.6B</w:t>
      </w:r>
      <w:r>
        <w:rPr>
          <w:color w:val="666666"/>
          <w:sz w:val="20"/>
        </w:rPr>
        <w:t xml:space="preserve"> (出口限制前)</w:t>
      </w:r>
    </w:p>
    <w:p/>
    <w:p>
      <w:pPr>
        <w:spacing w:before="240" w:after="120"/>
      </w:pPr>
      <w:r>
        <w:rPr>
          <w:b/>
          <w:color w:val="1F497D"/>
          <w:sz w:val="28"/>
        </w:rPr>
        <w:t>Q2 FY2026 指引</w:t>
      </w:r>
    </w:p>
    <w:p>
      <w:pPr>
        <w:pStyle w:val="ListBullet"/>
        <w:spacing w:after="60"/>
      </w:pPr>
      <w:r>
        <w:rPr>
          <w:b/>
          <w:sz w:val="24"/>
        </w:rPr>
        <w:t xml:space="preserve">預估營收: </w:t>
      </w:r>
      <w:r>
        <w:rPr>
          <w:b/>
          <w:color w:val="008000"/>
          <w:sz w:val="24"/>
        </w:rPr>
        <w:t>$45.0B</w:t>
      </w:r>
      <w:r>
        <w:rPr>
          <w:color w:val="666666"/>
          <w:sz w:val="20"/>
        </w:rPr>
        <w:t xml:space="preserve"> (+2% QoQ)</w:t>
      </w:r>
    </w:p>
    <w:p>
      <w:pPr>
        <w:pStyle w:val="ListBullet"/>
        <w:spacing w:after="60"/>
      </w:pPr>
      <w:r>
        <w:rPr>
          <w:b/>
          <w:sz w:val="24"/>
        </w:rPr>
        <w:t xml:space="preserve">Non-GAAP毛利率: </w:t>
      </w:r>
      <w:r>
        <w:rPr>
          <w:b/>
          <w:sz w:val="24"/>
        </w:rPr>
        <w:t>72.0%</w:t>
      </w:r>
      <w:r>
        <w:rPr>
          <w:color w:val="666666"/>
          <w:sz w:val="20"/>
        </w:rPr>
        <w:t xml:space="preserve"> (恢復中)</w:t>
      </w:r>
    </w:p>
    <w:p>
      <w:pPr>
        <w:pStyle w:val="ListBullet"/>
        <w:spacing w:after="60"/>
      </w:pPr>
      <w:r>
        <w:rPr>
          <w:b/>
          <w:sz w:val="24"/>
        </w:rPr>
        <w:t xml:space="preserve">中期目標: </w:t>
      </w:r>
      <w:r>
        <w:rPr>
          <w:b/>
          <w:sz w:val="24"/>
        </w:rPr>
        <w:t>75%</w:t>
      </w:r>
      <w:r>
        <w:rPr>
          <w:color w:val="666666"/>
          <w:sz w:val="20"/>
        </w:rPr>
        <w:t xml:space="preserve"> (FY2026年底)</w:t>
      </w:r>
    </w:p>
    <w:p/>
    <w:p>
      <w:pPr>
        <w:spacing w:before="240" w:after="120"/>
      </w:pPr>
      <w:r>
        <w:rPr>
          <w:b/>
          <w:color w:val="1F497D"/>
          <w:sz w:val="28"/>
        </w:rPr>
        <w:t>FY2026全年表現（截至2026年1月）</w:t>
      </w:r>
    </w:p>
    <w:p>
      <w:pPr>
        <w:pStyle w:val="ListBullet"/>
        <w:spacing w:after="60"/>
      </w:pPr>
      <w:r>
        <w:rPr>
          <w:b/>
          <w:sz w:val="24"/>
        </w:rPr>
        <w:t xml:space="preserve">總營收: </w:t>
      </w:r>
      <w:r>
        <w:rPr>
          <w:b/>
          <w:color w:val="008000"/>
          <w:sz w:val="24"/>
        </w:rPr>
        <w:t>$215.9B</w:t>
      </w:r>
      <w:r>
        <w:rPr>
          <w:color w:val="666666"/>
          <w:sz w:val="20"/>
        </w:rPr>
        <w:t xml:space="preserve"> (+65% YoY)</w:t>
      </w:r>
    </w:p>
    <w:p>
      <w:pPr>
        <w:pStyle w:val="ListBullet"/>
        <w:spacing w:after="60"/>
      </w:pPr>
      <w:r>
        <w:rPr>
          <w:b/>
          <w:sz w:val="24"/>
        </w:rPr>
        <w:t xml:space="preserve">資料中心全年: </w:t>
      </w:r>
      <w:r>
        <w:rPr>
          <w:b/>
          <w:sz w:val="24"/>
        </w:rPr>
        <w:t>$193.7B</w:t>
      </w:r>
      <w:r>
        <w:rPr>
          <w:color w:val="666666"/>
          <w:sz w:val="20"/>
        </w:rPr>
        <w:t xml:space="preserve"> (+68% YoY)</w:t>
      </w:r>
    </w:p>
    <w:p>
      <w:pPr>
        <w:pStyle w:val="ListBullet"/>
        <w:spacing w:after="60"/>
      </w:pPr>
      <w:r>
        <w:rPr>
          <w:b/>
          <w:sz w:val="24"/>
        </w:rPr>
        <w:t xml:space="preserve">全年GAAP EPS: </w:t>
      </w:r>
      <w:r>
        <w:rPr>
          <w:b/>
          <w:color w:val="008000"/>
          <w:sz w:val="24"/>
        </w:rPr>
        <w:t>$4.90</w:t>
      </w:r>
      <w:r>
        <w:rPr>
          <w:color w:val="666666"/>
          <w:sz w:val="20"/>
        </w:rPr>
        <w:t xml:space="preserve"> (+63% YoY)</w:t>
      </w:r>
    </w:p>
    <w:p/>
    <w:p>
      <w:pPr>
        <w:spacing w:before="240" w:after="120"/>
      </w:pPr>
      <w:r>
        <w:rPr>
          <w:b/>
          <w:color w:val="1F497D"/>
          <w:sz w:val="28"/>
        </w:rPr>
        <w:t>投資總結</w:t>
      </w:r>
    </w:p>
    <w:p>
      <w:pPr>
        <w:pStyle w:val="ListBullet"/>
        <w:spacing w:after="60"/>
      </w:pPr>
      <w:r>
        <w:rPr>
          <w:b/>
          <w:sz w:val="24"/>
        </w:rPr>
        <w:t xml:space="preserve">投資評級: </w:t>
      </w:r>
      <w:r>
        <w:rPr>
          <w:b/>
          <w:sz w:val="24"/>
        </w:rPr>
        <w:t>強力買進 (Strong Buy)</w:t>
      </w:r>
    </w:p>
    <w:p>
      <w:pPr>
        <w:pStyle w:val="ListBullet"/>
        <w:spacing w:after="60"/>
      </w:pPr>
      <w:r>
        <w:rPr>
          <w:b/>
          <w:sz w:val="24"/>
        </w:rPr>
        <w:t xml:space="preserve">目標價區間: </w:t>
      </w:r>
      <w:r>
        <w:rPr>
          <w:b/>
          <w:sz w:val="24"/>
        </w:rPr>
        <w:t>$150-180</w:t>
      </w:r>
    </w:p>
    <w:p>
      <w:pPr>
        <w:pStyle w:val="ListBullet"/>
        <w:spacing w:after="60"/>
      </w:pPr>
      <w:r>
        <w:rPr>
          <w:b/>
          <w:sz w:val="24"/>
        </w:rPr>
        <w:t xml:space="preserve">歷史高點: </w:t>
      </w:r>
      <w:r>
        <w:rPr>
          <w:b/>
          <w:sz w:val="24"/>
        </w:rPr>
        <w:t>$153.13</w:t>
      </w:r>
      <w:r>
        <w:rPr>
          <w:color w:val="666666"/>
          <w:sz w:val="20"/>
        </w:rPr>
        <w:t xml:space="preserve"> (2026年1月)</w:t>
      </w:r>
    </w:p>
    <w:p>
      <w:pPr>
        <w:pStyle w:val="ListBullet"/>
        <w:spacing w:after="60"/>
      </w:pPr>
      <w:r>
        <w:rPr>
          <w:b/>
          <w:sz w:val="24"/>
        </w:rPr>
        <w:t xml:space="preserve">2026年EPS預估: </w:t>
      </w:r>
      <w:r>
        <w:rPr>
          <w:b/>
          <w:sz w:val="24"/>
        </w:rPr>
        <w:t>$5.5-6.0</w:t>
      </w:r>
    </w:p>
    <w:p>
      <w:pPr>
        <w:pStyle w:val="ListBullet"/>
        <w:spacing w:after="60"/>
      </w:pPr>
      <w:r>
        <w:rPr>
          <w:b/>
          <w:sz w:val="24"/>
        </w:rPr>
        <w:t xml:space="preserve">本益比(P/E): </w:t>
      </w:r>
      <w:r>
        <w:rPr>
          <w:b/>
          <w:sz w:val="24"/>
        </w:rPr>
        <w:t>25-30倍</w:t>
      </w:r>
      <w:r>
        <w:rPr>
          <w:color w:val="666666"/>
          <w:sz w:val="20"/>
        </w:rPr>
        <w:t xml:space="preserve"> (合理區間)</w:t>
      </w:r>
    </w:p>
    <w:p>
      <w:pPr>
        <w:pStyle w:val="ListBullet"/>
        <w:spacing w:after="60"/>
      </w:pPr>
      <w:r>
        <w:rPr>
          <w:b/>
          <w:sz w:val="24"/>
        </w:rPr>
        <w:t xml:space="preserve">長線策略: </w:t>
      </w:r>
      <w:r>
        <w:rPr>
          <w:b/>
          <w:sz w:val="24"/>
        </w:rPr>
        <w:t>定期定額，持有3-5年</w:t>
      </w:r>
      <w:r>
        <w:rPr>
          <w:color w:val="666666"/>
          <w:sz w:val="20"/>
        </w:rPr>
        <w:t xml:space="preserve"> (AI領導者)</w:t>
      </w:r>
    </w:p>
    <w:p>
      <w:pPr>
        <w:pStyle w:val="ListBullet"/>
        <w:spacing w:after="60"/>
      </w:pPr>
      <w:r>
        <w:rPr>
          <w:b/>
          <w:sz w:val="24"/>
        </w:rPr>
        <w:t xml:space="preserve">短線策略: </w:t>
      </w:r>
      <w:r>
        <w:rPr>
          <w:b/>
          <w:sz w:val="24"/>
        </w:rPr>
        <w:t>區間操作</w:t>
      </w:r>
      <w:r>
        <w:rPr>
          <w:color w:val="666666"/>
          <w:sz w:val="20"/>
        </w:rPr>
        <w:t xml:space="preserve"> (支撐 $110-120)</w:t>
      </w:r>
    </w:p>
    <w:p/>
    <w:p>
      <w:r>
        <w:t>——————————————————————————————</w:t>
      </w:r>
    </w:p>
    <w:p>
      <w:pPr>
        <w:jc w:val="center"/>
      </w:pPr>
      <w:r>
        <w:rPr>
          <w:color w:val="666666"/>
          <w:sz w:val="18"/>
        </w:rPr>
        <w:t>川寶投顧小安助理 | 2026年05月02日</w:t>
      </w:r>
    </w:p>
    <w:p>
      <w:pPr>
        <w:jc w:val="center"/>
      </w:pPr>
      <w:r>
        <w:rPr>
          <w:color w:val="CCCCCC"/>
          <w:sz w:val="16"/>
        </w:rPr>
        <w:t>本報告僅供參考，不構成投資建議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