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爲什麼Jack in the Box (JACK)股價今天飆升 [Yahoo S&amp;P500]</w:t>
        <w:br/>
        <w:t>• Chegg和Snap股票交易，您需要了解的信息 [Yahoo S&amp;P500]</w:t>
        <w:br/>
        <w:t>• Dine Brands和First Watch的份額正在飆升，您需要知道什麼 [Yahoo S&amp;P500]</w:t>
        <w:br/>
        <w:t>• Portillo's和Dutch Bros股票交易，您需要了解的信息 [Yahoo S&amp;P500]</w:t>
        <w:br/>
        <w:t>• 芝士蛋糕工廠（蛋糕）庫存成交，原因如下 [Yahoo S&amp;P500]</w:t>
        <w:br/>
        <w:t>• Apple (AAPL)股票成交，原因如下 [Yahoo Apple]</w:t>
        <w:br/>
        <w:t>• 2026年最富裕的國家：新的財富指標將法國和德國推出前十名 [Yahoo Apple]</w:t>
        <w:br/>
        <w:t>• 2025年薪酬最高的CEO是家具推銷員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4月23日（星期四）的紐約時報迷你填字遊戲答案 [CNET]</w:t>
        <w:br/>
        <w:t>• Netflix上你現在應該播放的40部最佳電影 [CNET]</w:t>
        <w:br/>
        <w:t>• Ultrahuman推出首款專家主導鍛煉的智能環整合 [CNET]</w:t>
        <w:br/>
        <w:t>• 我希望我在25年前開始擲骰子時就有過這場官方的D&amp;D表演 [CNET]</w:t>
        <w:br/>
        <w:t>• 任天堂客戶訴特朗普股份關稅退款 [CNET]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由於比特幣持有$ 77K ，加密貨幣情緒指數飆升至3個月高點 [Cointelegraph]</w:t>
        <w:br/>
        <w:t>• Apple修復了允許FBI讀取已刪除信號訊息的錯誤 [Cointelegraph]</w:t>
        <w:br/>
        <w:t>• Blockchain Capital正在為2支新基金籌集7億$ ：報告 [Cointelegraph]</w:t>
        <w:br/>
        <w:t>• 由於交易者將以太坊流動性缺口定位為2.6K $ ，以太坊接受者數量增加了72 ％ [Cointelegraph]</w:t>
        <w:br/>
        <w:t>• 做市商GSR推出首個追蹤比特幣、以太坊和Solana的ETF [Cointelegraph]</w:t>
        <w:br/>
        <w:t>• 比特幣的牛市得分指數剛剛離開熊市領域。附上警告。 [CoinDesk]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資料來源：中央社 RSS｜Yahoo Finance RSS｜Cointelegraph｜CoinDesk｜小歐翻譯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