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📊 2026年各資產報酬率報告</w:t>
      </w:r>
    </w:p>
    <w:p>
      <w:pPr>
        <w:jc w:val="center"/>
      </w:pPr>
      <w:r>
        <w:rPr>
          <w:color w:val="999999"/>
          <w:sz w:val="24"/>
        </w:rPr>
        <w:t>報告日期：2026年04月30日</w:t>
      </w:r>
    </w:p>
    <w:p>
      <w:pPr>
        <w:jc w:val="center"/>
      </w:pPr>
      <w:r>
        <w:rPr>
          <w:color w:val="0066CC"/>
          <w:sz w:val="22"/>
        </w:rPr>
        <w:t>資料區間：2026年01月01日 ～ 2026年04月19日</w:t>
      </w:r>
    </w:p>
    <w:p/>
    <w:p>
      <w:pPr>
        <w:pStyle w:val="Heading1"/>
      </w:pPr>
      <w:r>
        <w:rPr>
          <w:color w:val="1F497D"/>
        </w:rPr>
        <w:t>📈 股市與加密貨幣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資產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期初價格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期末價格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報酬率</w:t>
            </w:r>
          </w:p>
        </w:tc>
      </w:tr>
      <w:tr>
        <w:tc>
          <w:tcPr>
            <w:tcW w:type="dxa" w:w="2351"/>
          </w:tcPr>
          <w:p>
            <w:r>
              <w:t>🏆 韓股 (^KS11)</w:t>
            </w:r>
          </w:p>
        </w:tc>
        <w:tc>
          <w:tcPr>
            <w:tcW w:type="dxa" w:w="2351"/>
          </w:tcPr>
          <w:p>
            <w:r>
              <w:t>4,309.63</w:t>
            </w:r>
          </w:p>
        </w:tc>
        <w:tc>
          <w:tcPr>
            <w:tcW w:type="dxa" w:w="2351"/>
          </w:tcPr>
          <w:p>
            <w:r>
              <w:t>6,191.92</w:t>
            </w:r>
          </w:p>
        </w:tc>
        <w:tc>
          <w:tcPr>
            <w:tcW w:type="dxa" w:w="2351"/>
          </w:tcPr>
          <w:p>
            <w:r>
              <w:rPr>
                <w:b/>
                <w:color w:val="008000"/>
              </w:rPr>
              <w:t>+43.68%</w:t>
            </w:r>
          </w:p>
        </w:tc>
      </w:tr>
      <w:tr>
        <w:tc>
          <w:tcPr>
            <w:tcW w:type="dxa" w:w="2351"/>
          </w:tcPr>
          <w:p>
            <w:r>
              <w:t>🇹🇼 台股 (^TWII)</w:t>
            </w:r>
          </w:p>
        </w:tc>
        <w:tc>
          <w:tcPr>
            <w:tcW w:type="dxa" w:w="2351"/>
          </w:tcPr>
          <w:p>
            <w:r>
              <w:t>29,349.81</w:t>
            </w:r>
          </w:p>
        </w:tc>
        <w:tc>
          <w:tcPr>
            <w:tcW w:type="dxa" w:w="2351"/>
          </w:tcPr>
          <w:p>
            <w:r>
              <w:t>36,804.34</w:t>
            </w:r>
          </w:p>
        </w:tc>
        <w:tc>
          <w:tcPr>
            <w:tcW w:type="dxa" w:w="2351"/>
          </w:tcPr>
          <w:p>
            <w:r>
              <w:rPr>
                <w:b/>
                <w:color w:val="008000"/>
              </w:rPr>
              <w:t>+25.40%</w:t>
            </w:r>
          </w:p>
        </w:tc>
      </w:tr>
      <w:tr>
        <w:tc>
          <w:tcPr>
            <w:tcW w:type="dxa" w:w="2351"/>
          </w:tcPr>
          <w:p>
            <w:r>
              <w:t>📈 日經 (^N225)</w:t>
            </w:r>
          </w:p>
        </w:tc>
        <w:tc>
          <w:tcPr>
            <w:tcW w:type="dxa" w:w="2351"/>
          </w:tcPr>
          <w:p>
            <w:r>
              <w:t>51,832.80</w:t>
            </w:r>
          </w:p>
        </w:tc>
        <w:tc>
          <w:tcPr>
            <w:tcW w:type="dxa" w:w="2351"/>
          </w:tcPr>
          <w:p>
            <w:r>
              <w:t>58,475.90</w:t>
            </w:r>
          </w:p>
        </w:tc>
        <w:tc>
          <w:tcPr>
            <w:tcW w:type="dxa" w:w="2351"/>
          </w:tcPr>
          <w:p>
            <w:r>
              <w:rPr>
                <w:b/>
                <w:color w:val="008000"/>
              </w:rPr>
              <w:t>+12.82%</w:t>
            </w:r>
          </w:p>
        </w:tc>
      </w:tr>
      <w:tr>
        <w:tc>
          <w:tcPr>
            <w:tcW w:type="dxa" w:w="2351"/>
          </w:tcPr>
          <w:p>
            <w:r>
              <w:t>📈 Nasdaq (^IXIC)</w:t>
            </w:r>
          </w:p>
        </w:tc>
        <w:tc>
          <w:tcPr>
            <w:tcW w:type="dxa" w:w="2351"/>
          </w:tcPr>
          <w:p>
            <w:r>
              <w:t>23,241.99</w:t>
            </w:r>
          </w:p>
        </w:tc>
        <w:tc>
          <w:tcPr>
            <w:tcW w:type="dxa" w:w="2351"/>
          </w:tcPr>
          <w:p>
            <w:r>
              <w:t>24,468.48</w:t>
            </w:r>
          </w:p>
        </w:tc>
        <w:tc>
          <w:tcPr>
            <w:tcW w:type="dxa" w:w="2351"/>
          </w:tcPr>
          <w:p>
            <w:r>
              <w:rPr>
                <w:b/>
                <w:color w:val="008000"/>
              </w:rPr>
              <w:t>+5.28%</w:t>
            </w:r>
          </w:p>
        </w:tc>
      </w:tr>
      <w:tr>
        <w:tc>
          <w:tcPr>
            <w:tcW w:type="dxa" w:w="2351"/>
          </w:tcPr>
          <w:p>
            <w:r>
              <w:t>📈 S&amp;P 500 (^GSPC)</w:t>
            </w:r>
          </w:p>
        </w:tc>
        <w:tc>
          <w:tcPr>
            <w:tcW w:type="dxa" w:w="2351"/>
          </w:tcPr>
          <w:p>
            <w:r>
              <w:t>6,845.50</w:t>
            </w:r>
          </w:p>
        </w:tc>
        <w:tc>
          <w:tcPr>
            <w:tcW w:type="dxa" w:w="2351"/>
          </w:tcPr>
          <w:p>
            <w:r>
              <w:t>7,126.06</w:t>
            </w:r>
          </w:p>
        </w:tc>
        <w:tc>
          <w:tcPr>
            <w:tcW w:type="dxa" w:w="2351"/>
          </w:tcPr>
          <w:p>
            <w:r>
              <w:rPr>
                <w:b/>
                <w:color w:val="008000"/>
              </w:rPr>
              <w:t>+4.10%</w:t>
            </w:r>
          </w:p>
        </w:tc>
      </w:tr>
      <w:tr>
        <w:tc>
          <w:tcPr>
            <w:tcW w:type="dxa" w:w="2351"/>
          </w:tcPr>
          <w:p>
            <w:r>
              <w:t>📈 Dow Jones (^DJI)</w:t>
            </w:r>
          </w:p>
        </w:tc>
        <w:tc>
          <w:tcPr>
            <w:tcW w:type="dxa" w:w="2351"/>
          </w:tcPr>
          <w:p>
            <w:r>
              <w:t>48,063.29</w:t>
            </w:r>
          </w:p>
        </w:tc>
        <w:tc>
          <w:tcPr>
            <w:tcW w:type="dxa" w:w="2351"/>
          </w:tcPr>
          <w:p>
            <w:r>
              <w:t>49,447.43</w:t>
            </w:r>
          </w:p>
        </w:tc>
        <w:tc>
          <w:tcPr>
            <w:tcW w:type="dxa" w:w="2351"/>
          </w:tcPr>
          <w:p>
            <w:r>
              <w:rPr>
                <w:b/>
                <w:color w:val="008000"/>
              </w:rPr>
              <w:t>+2.88%</w:t>
            </w:r>
          </w:p>
        </w:tc>
      </w:tr>
      <w:tr>
        <w:tc>
          <w:tcPr>
            <w:tcW w:type="dxa" w:w="2351"/>
          </w:tcPr>
          <w:p>
            <w:r>
              <w:t>➖ 美債 (TLT)</w:t>
            </w:r>
          </w:p>
        </w:tc>
        <w:tc>
          <w:tcPr>
            <w:tcW w:type="dxa" w:w="2351"/>
          </w:tcPr>
          <w:p>
            <w:r>
              <w:t>87.16</w:t>
            </w:r>
          </w:p>
        </w:tc>
        <w:tc>
          <w:tcPr>
            <w:tcW w:type="dxa" w:w="2351"/>
          </w:tcPr>
          <w:p>
            <w:r>
              <w:t>87.07</w:t>
            </w:r>
          </w:p>
        </w:tc>
        <w:tc>
          <w:tcPr>
            <w:tcW w:type="dxa" w:w="2351"/>
          </w:tcPr>
          <w:p>
            <w:r>
              <w:rPr>
                <w:b/>
                <w:color w:val="CC0000"/>
              </w:rPr>
              <w:t>-0.10%</w:t>
            </w:r>
          </w:p>
        </w:tc>
      </w:tr>
      <w:tr>
        <w:tc>
          <w:tcPr>
            <w:tcW w:type="dxa" w:w="2351"/>
          </w:tcPr>
          <w:p>
            <w:r>
              <w:t>📉 港股 (^HSI)</w:t>
            </w:r>
          </w:p>
        </w:tc>
        <w:tc>
          <w:tcPr>
            <w:tcW w:type="dxa" w:w="2351"/>
          </w:tcPr>
          <w:p>
            <w:r>
              <w:t>26,338.47</w:t>
            </w:r>
          </w:p>
        </w:tc>
        <w:tc>
          <w:tcPr>
            <w:tcW w:type="dxa" w:w="2351"/>
          </w:tcPr>
          <w:p>
            <w:r>
              <w:t>26,160.33</w:t>
            </w:r>
          </w:p>
        </w:tc>
        <w:tc>
          <w:tcPr>
            <w:tcW w:type="dxa" w:w="2351"/>
          </w:tcPr>
          <w:p>
            <w:r>
              <w:rPr>
                <w:b/>
                <w:color w:val="CC0000"/>
              </w:rPr>
              <w:t>-0.68%</w:t>
            </w:r>
          </w:p>
        </w:tc>
      </w:tr>
      <w:tr>
        <w:tc>
          <w:tcPr>
            <w:tcW w:type="dxa" w:w="2351"/>
          </w:tcPr>
          <w:p>
            <w:r>
              <w:t>💰 比特幣 (BTC-USD)</w:t>
            </w:r>
          </w:p>
        </w:tc>
        <w:tc>
          <w:tcPr>
            <w:tcW w:type="dxa" w:w="2351"/>
          </w:tcPr>
          <w:p>
            <w:r>
              <w:t>87,508.83</w:t>
            </w:r>
          </w:p>
        </w:tc>
        <w:tc>
          <w:tcPr>
            <w:tcW w:type="dxa" w:w="2351"/>
          </w:tcPr>
          <w:p>
            <w:r>
              <w:t>75,048.20</w:t>
            </w:r>
          </w:p>
        </w:tc>
        <w:tc>
          <w:tcPr>
            <w:tcW w:type="dxa" w:w="2351"/>
          </w:tcPr>
          <w:p>
            <w:r>
              <w:rPr>
                <w:b/>
                <w:color w:val="CC0000"/>
              </w:rPr>
              <w:t>-14.24%</w:t>
            </w:r>
          </w:p>
        </w:tc>
      </w:tr>
    </w:tbl>
    <w:p/>
    <w:p>
      <w:pPr>
        <w:pStyle w:val="Heading1"/>
      </w:pPr>
      <w:r>
        <w:rPr>
          <w:color w:val="1F497D"/>
        </w:rPr>
        <w:t>🥇 貴金屬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資產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期初價格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期末價格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報酬率</w:t>
            </w:r>
          </w:p>
        </w:tc>
      </w:tr>
      <w:tr>
        <w:tc>
          <w:tcPr>
            <w:tcW w:type="dxa" w:w="2351"/>
          </w:tcPr>
          <w:p>
            <w:r>
              <w:t>🥇 黃金 (GC=F)</w:t>
            </w:r>
          </w:p>
        </w:tc>
        <w:tc>
          <w:tcPr>
            <w:tcW w:type="dxa" w:w="2351"/>
          </w:tcPr>
          <w:p>
            <w:r>
              <w:t>4,325.60</w:t>
            </w:r>
          </w:p>
        </w:tc>
        <w:tc>
          <w:tcPr>
            <w:tcW w:type="dxa" w:w="2351"/>
          </w:tcPr>
          <w:p>
            <w:r>
              <w:t>4,879.60</w:t>
            </w:r>
          </w:p>
        </w:tc>
        <w:tc>
          <w:tcPr>
            <w:tcW w:type="dxa" w:w="2351"/>
          </w:tcPr>
          <w:p>
            <w:r>
              <w:rPr>
                <w:b/>
                <w:color w:val="008000"/>
              </w:rPr>
              <w:t>+12.81%</w:t>
            </w:r>
          </w:p>
        </w:tc>
      </w:tr>
    </w:tbl>
    <w:p/>
    <w:p>
      <w:pPr>
        <w:pStyle w:val="Heading1"/>
      </w:pPr>
      <w:r>
        <w:rPr>
          <w:color w:val="1F497D"/>
        </w:rPr>
        <w:t>🏠 台灣房地產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指標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數據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3135"/>
          </w:tcPr>
          <w:p>
            <w:r>
              <w:t>都市地價指數</w:t>
            </w:r>
          </w:p>
        </w:tc>
        <w:tc>
          <w:tcPr>
            <w:tcW w:type="dxa" w:w="3135"/>
          </w:tcPr>
          <w:p>
            <w:r>
              <w:t>106.44</w:t>
            </w:r>
          </w:p>
        </w:tc>
        <w:tc>
          <w:tcPr>
            <w:tcW w:type="dxa" w:w="3135"/>
          </w:tcPr>
          <w:p>
            <w:r>
              <w:rPr>
                <w:color w:val="008000"/>
              </w:rPr>
              <w:t>114H2，年增 +</w:t>
            </w:r>
            <w:r>
              <w:rPr>
                <w:color w:val="008000"/>
              </w:rPr>
              <w:t>1.03%</w:t>
            </w:r>
          </w:p>
        </w:tc>
      </w:tr>
      <w:tr>
        <w:tc>
          <w:tcPr>
            <w:tcW w:type="dxa" w:w="3135"/>
          </w:tcPr>
          <w:p>
            <w:r>
              <w:t>住宅買賣均價</w:t>
            </w:r>
          </w:p>
        </w:tc>
        <w:tc>
          <w:tcPr>
            <w:tcW w:type="dxa" w:w="3135"/>
          </w:tcPr>
          <w:p>
            <w:r>
              <w:t>1,324萬/戶</w:t>
            </w:r>
          </w:p>
        </w:tc>
        <w:tc>
          <w:tcPr>
            <w:tcW w:type="dxa" w:w="3135"/>
          </w:tcPr>
          <w:p>
            <w:r>
              <w:rPr>
                <w:color w:val="CC0000"/>
              </w:rPr>
              <w:t>114Q2，年減 -</w:t>
            </w:r>
            <w:r>
              <w:rPr>
                <w:color w:val="CC0000"/>
              </w:rPr>
              <w:t>5.55%</w:t>
            </w:r>
          </w:p>
        </w:tc>
      </w:tr>
      <w:tr>
        <w:tc>
          <w:tcPr>
            <w:tcW w:type="dxa" w:w="3135"/>
          </w:tcPr>
          <w:p>
            <w:r>
              <w:t>租金指數</w:t>
            </w:r>
          </w:p>
        </w:tc>
        <w:tc>
          <w:tcPr>
            <w:tcW w:type="dxa" w:w="3135"/>
          </w:tcPr>
          <w:p>
            <w:r>
              <w:t>110.21</w:t>
            </w:r>
          </w:p>
        </w:tc>
        <w:tc>
          <w:tcPr>
            <w:tcW w:type="dxa" w:w="3135"/>
          </w:tcPr>
          <w:p>
            <w:r>
              <w:rPr>
                <w:color w:val="008000"/>
              </w:rPr>
              <w:t>115/03（2026年3月），年增 +</w:t>
            </w:r>
            <w:r>
              <w:rPr>
                <w:color w:val="008000"/>
              </w:rPr>
              <w:t>2.01%</w:t>
            </w:r>
          </w:p>
        </w:tc>
      </w:tr>
    </w:tbl>
    <w:p/>
    <w:p>
      <w:r>
        <w:rPr>
          <w:i/>
          <w:color w:val="666666"/>
          <w:sz w:val="20"/>
        </w:rPr>
        <w:t>※ 2026年以來台灣房地產價格指數帳面報酬率約 +1~2%（年化），落後股市表現。</w:t>
      </w:r>
    </w:p>
    <w:p/>
    <w:p>
      <w:pPr>
        <w:pStyle w:val="Heading1"/>
      </w:pPr>
      <w:r>
        <w:rPr>
          <w:color w:val="1F497D"/>
        </w:rPr>
        <w:t>💵 定存利率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利率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3135"/>
          </w:tcPr>
          <w:p>
            <w:r>
              <w:t>央行重貼現率</w:t>
            </w:r>
          </w:p>
        </w:tc>
        <w:tc>
          <w:tcPr>
            <w:tcW w:type="dxa" w:w="3135"/>
          </w:tcPr>
          <w:p>
            <w:r>
              <w:t>2.00%</w:t>
            </w:r>
          </w:p>
        </w:tc>
        <w:tc>
          <w:tcPr>
            <w:tcW w:type="dxa" w:w="3135"/>
          </w:tcPr>
          <w:p>
            <w:r>
              <w:t>維持不變（自2024年3月起）</w:t>
            </w:r>
          </w:p>
        </w:tc>
      </w:tr>
      <w:tr>
        <w:tc>
          <w:tcPr>
            <w:tcW w:type="dxa" w:w="3135"/>
          </w:tcPr>
          <w:p>
            <w:r>
              <w:t>1年期定存利率</w:t>
            </w:r>
          </w:p>
        </w:tc>
        <w:tc>
          <w:tcPr>
            <w:tcW w:type="dxa" w:w="3135"/>
          </w:tcPr>
          <w:p>
            <w:r>
              <w:t>1.50%</w:t>
            </w:r>
          </w:p>
        </w:tc>
        <w:tc>
          <w:tcPr>
            <w:tcW w:type="dxa" w:w="3135"/>
          </w:tcPr>
          <w:p>
            <w:r>
              <w:t>銀行平均（無風險利率）</w:t>
            </w:r>
          </w:p>
        </w:tc>
      </w:tr>
      <w:tr>
        <w:tc>
          <w:tcPr>
            <w:tcW w:type="dxa" w:w="3135"/>
          </w:tcPr>
          <w:p>
            <w:r>
              <w:t>今年以來利息收入</w:t>
            </w:r>
          </w:p>
        </w:tc>
        <w:tc>
          <w:tcPr>
            <w:tcW w:type="dxa" w:w="3135"/>
          </w:tcPr>
          <w:p>
            <w:r>
              <w:t>約 0.375%</w:t>
            </w:r>
          </w:p>
        </w:tc>
        <w:tc>
          <w:tcPr>
            <w:tcW w:type="dxa" w:w="3135"/>
          </w:tcPr>
          <w:p>
            <w:r>
              <w:t>4個月約當</w:t>
            </w:r>
          </w:p>
        </w:tc>
      </w:tr>
    </w:tbl>
    <w:p/>
    <w:p>
      <w:pPr>
        <w:pStyle w:val="Heading1"/>
      </w:pPr>
      <w:r>
        <w:rPr>
          <w:color w:val="1F497D"/>
        </w:rPr>
        <w:t>📋 投資績效總評</w:t>
      </w:r>
    </w:p>
    <w:p>
      <w:pPr>
        <w:spacing w:after="120"/>
      </w:pPr>
      <w:r>
        <w:t>🏆 今年以來表現最佳：韓股 (</w:t>
      </w:r>
      <w:r>
        <w:rPr>
          <w:b/>
          <w:color w:val="008000"/>
        </w:rPr>
        <w:t>+43.68%)、台股 (+25.40%)，亞股漲幅驚人</w:t>
      </w:r>
    </w:p>
    <w:p>
      <w:pPr>
        <w:spacing w:after="120"/>
      </w:pPr>
      <w:r>
        <w:t>📉 今年以來表現最差：比特幣 (</w:t>
      </w:r>
      <w:r>
        <w:rPr>
          <w:b/>
          <w:color w:val="CC0000"/>
        </w:rPr>
        <w:t>-14.24%)，加密貨幣波動劇烈</w:t>
      </w:r>
    </w:p>
    <w:p>
      <w:pPr>
        <w:spacing w:after="120"/>
      </w:pPr>
      <w:r>
        <w:t>🥇 黃金 (</w:t>
      </w:r>
      <w:r>
        <w:rPr>
          <w:b/>
          <w:color w:val="008000"/>
        </w:rPr>
        <w:t>+12.81%) 表現亮眼，避險需求支撐價格</w:t>
      </w:r>
    </w:p>
    <w:p>
      <w:pPr>
        <w:spacing w:after="120"/>
      </w:pPr>
      <w:r>
        <w:t>💵 定存報酬 (</w:t>
      </w:r>
      <w:r>
        <w:rPr>
          <w:b/>
          <w:color w:val="008000"/>
        </w:rPr>
        <w:t>+1.50%)，無風險資產最穩健</w:t>
      </w:r>
    </w:p>
    <w:p>
      <w:pPr>
        <w:spacing w:after="120"/>
      </w:pPr>
      <w:r>
        <w:t>🏠 台灣房地產 (</w:t>
      </w:r>
      <w:r>
        <w:rPr>
          <w:b/>
          <w:color w:val="008000"/>
        </w:rPr>
        <w:t>+1~2%) 保守穩健，遠落後股市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2026年資產報酬率報告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