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📊 股市深度報告</w:t>
      </w:r>
    </w:p>
    <w:p>
      <w:pPr>
        <w:jc w:val="center"/>
      </w:pPr>
      <w:r>
        <w:rPr>
          <w:i/>
          <w:color w:val="707070"/>
          <w:sz w:val="24"/>
        </w:rPr>
        <w:t>台股大盤 · 法人資金 · 技術分析 · 熱門標的</w:t>
      </w:r>
    </w:p>
    <w:p>
      <w:pPr>
        <w:jc w:val="center"/>
      </w:pPr>
      <w:r>
        <w:rPr>
          <w:color w:val="999999"/>
          <w:sz w:val="20"/>
        </w:rPr>
        <w:t>資料日期：2026年05月12日</w:t>
      </w:r>
    </w:p>
    <w:p/>
    <w:p>
      <w:pPr>
        <w:pStyle w:val="Heading1"/>
      </w:pPr>
      <w:r>
        <w:rPr>
          <w:color w:val="1F497D"/>
          <w:sz w:val="28"/>
        </w:rPr>
        <w:t>一、市場情緒摘要</w:t>
      </w:r>
    </w:p>
    <w:p>
      <w:r>
        <w:rPr>
          <w:b/>
        </w:rPr>
        <w:t>市場情緒評分：</w:t>
      </w:r>
      <w:r>
        <w:t xml:space="preserve">5/10 </w:t>
      </w:r>
      <w:r>
        <w:t>（中立）</w:t>
      </w:r>
    </w:p>
    <w:p>
      <w:r>
        <w:rPr>
          <w:sz w:val="28"/>
        </w:rPr>
        <w:t>🔴🔴⚪️⚪️⚪️  5/10</w:t>
      </w:r>
    </w:p>
    <w:p>
      <w:r>
        <w:rPr>
          <w:b/>
        </w:rPr>
        <w:t>三大法人買賣超概況：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法人</w:t>
            </w:r>
          </w:p>
        </w:tc>
        <w:tc>
          <w:tcPr>
            <w:tcW w:type="dxa" w:w="4703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買賣超股數</w:t>
            </w:r>
          </w:p>
        </w:tc>
      </w:tr>
      <w:tr>
        <w:tc>
          <w:tcPr>
            <w:tcW w:type="dxa" w:w="4703"/>
          </w:tcPr>
          <w:p>
            <w:r>
              <w:t>外资（含陸資）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color w:val="008000"/>
              </w:rPr>
              <w:t>463,313,041</w:t>
            </w:r>
          </w:p>
        </w:tc>
      </w:tr>
      <w:tr>
        <w:tc>
          <w:tcPr>
            <w:tcW w:type="dxa" w:w="4703"/>
          </w:tcPr>
          <w:p>
            <w:r>
              <w:t>投信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color w:val="008000"/>
              </w:rPr>
              <w:t>8,110,479</w:t>
            </w:r>
          </w:p>
        </w:tc>
      </w:tr>
      <w:tr>
        <w:tc>
          <w:tcPr>
            <w:tcW w:type="dxa" w:w="4703"/>
          </w:tcPr>
          <w:p>
            <w:r>
              <w:t>自營商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color w:val="008000"/>
              </w:rPr>
              <w:t>319,459,251</w:t>
            </w:r>
          </w:p>
        </w:tc>
      </w:tr>
    </w:tbl>
    <w:p>
      <w:r>
        <w:rPr>
          <w:b/>
        </w:rPr>
        <w:br/>
        <w:t>市場短評：</w:t>
      </w:r>
      <w:r>
        <w:t>今日台股呈現震盪整理格局，指數漲跌不大，市場觀望氣氛濃，建議謹慎操作。</w:t>
      </w:r>
    </w:p>
    <w:p/>
    <w:p>
      <w:pPr>
        <w:pStyle w:val="Heading1"/>
      </w:pPr>
      <w:r>
        <w:rPr>
          <w:color w:val="1F497D"/>
          <w:sz w:val="28"/>
        </w:rPr>
        <w:t>二、台股大盤分析</w:t>
      </w:r>
    </w:p>
    <w:p>
      <w:r>
        <w:rPr>
          <w:i/>
          <w:color w:val="0066CC"/>
          <w:sz w:val="18"/>
        </w:rPr>
        <w:t>※ 資料來源：台灣證券交易所 (TWSE)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41,898.32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108.26 (+0.26%)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/>
    <w:p>
      <w:pPr>
        <w:pStyle w:val="Heading1"/>
      </w:pPr>
      <w:r>
        <w:rPr>
          <w:color w:val="1F497D"/>
          <w:sz w:val="28"/>
        </w:rPr>
        <w:t>三、法人資金流向</w:t>
      </w:r>
    </w:p>
    <w:p>
      <w:r>
        <w:rPr>
          <w:i/>
          <w:color w:val="0066CC"/>
          <w:sz w:val="18"/>
        </w:rPr>
        <w:t>※ 資料來源：台灣證券交易所 T86 三大法人統計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法人類型</w:t>
            </w:r>
          </w:p>
        </w:tc>
        <w:tc>
          <w:tcPr>
            <w:tcW w:type="dxa" w:w="4703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買賣超股數</w:t>
            </w:r>
          </w:p>
        </w:tc>
      </w:tr>
      <w:tr>
        <w:tc>
          <w:tcPr>
            <w:tcW w:type="dxa" w:w="4703"/>
          </w:tcPr>
          <w:p>
            <w:r>
              <w:t>外资（含陸資）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color w:val="C00000"/>
              </w:rPr>
              <w:t>-329,643,673</w:t>
            </w:r>
          </w:p>
        </w:tc>
      </w:tr>
      <w:tr>
        <w:tc>
          <w:tcPr>
            <w:tcW w:type="dxa" w:w="4703"/>
          </w:tcPr>
          <w:p>
            <w:r>
              <w:t>投信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color w:val="C00000"/>
              </w:rPr>
              <w:t>-130,431,790</w:t>
            </w:r>
          </w:p>
        </w:tc>
      </w:tr>
      <w:tr>
        <w:tc>
          <w:tcPr>
            <w:tcW w:type="dxa" w:w="4703"/>
          </w:tcPr>
          <w:p>
            <w:r>
              <w:t>自營商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color w:val="C00000"/>
              </w:rPr>
              <w:t>-2,272,932,021</w:t>
            </w:r>
          </w:p>
        </w:tc>
      </w:tr>
    </w:tbl>
    <w:p/>
    <w:p>
      <w:r>
        <w:rPr>
          <w:b/>
        </w:rPr>
        <w:t>🏆 買超前三名：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股票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買賣超（股）</w:t>
            </w:r>
          </w:p>
        </w:tc>
      </w:tr>
      <w:tr>
        <w:tc>
          <w:tcPr>
            <w:tcW w:type="dxa" w:w="3135"/>
          </w:tcPr>
          <w:p>
            <w:r>
              <w:t>Top 1</w:t>
            </w:r>
          </w:p>
        </w:tc>
        <w:tc>
          <w:tcPr>
            <w:tcW w:type="dxa" w:w="3135"/>
          </w:tcPr>
          <w:p>
            <w:r>
              <w:t xml:space="preserve">2409 友達            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color w:val="008000"/>
              </w:rPr>
              <w:t>119,357,717</w:t>
            </w:r>
          </w:p>
        </w:tc>
      </w:tr>
      <w:tr>
        <w:tc>
          <w:tcPr>
            <w:tcW w:type="dxa" w:w="3135"/>
          </w:tcPr>
          <w:p>
            <w:r>
              <w:t>Top 2</w:t>
            </w:r>
          </w:p>
        </w:tc>
        <w:tc>
          <w:tcPr>
            <w:tcW w:type="dxa" w:w="3135"/>
          </w:tcPr>
          <w:p>
            <w:r>
              <w:t>00919 群益台灣精選高息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color w:val="008000"/>
              </w:rPr>
              <w:t>107,078,120</w:t>
            </w:r>
          </w:p>
        </w:tc>
      </w:tr>
      <w:tr>
        <w:tc>
          <w:tcPr>
            <w:tcW w:type="dxa" w:w="3135"/>
          </w:tcPr>
          <w:p>
            <w:r>
              <w:t>Top 3</w:t>
            </w:r>
          </w:p>
        </w:tc>
        <w:tc>
          <w:tcPr>
            <w:tcW w:type="dxa" w:w="3135"/>
          </w:tcPr>
          <w:p>
            <w:r>
              <w:t xml:space="preserve">3481 群創            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color w:val="008000"/>
              </w:rPr>
              <w:t>82,769,288</w:t>
            </w:r>
          </w:p>
        </w:tc>
      </w:tr>
    </w:tbl>
    <w:p/>
    <w:p>
      <w:r>
        <w:rPr>
          <w:b/>
        </w:rPr>
        <w:t>🔴 賣超前三名：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3135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股票</w:t>
            </w:r>
          </w:p>
        </w:tc>
        <w:tc>
          <w:tcPr>
            <w:tcW w:type="dxa" w:w="3135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買賣超（股）</w:t>
            </w:r>
          </w:p>
        </w:tc>
      </w:tr>
      <w:tr>
        <w:tc>
          <w:tcPr>
            <w:tcW w:type="dxa" w:w="3135"/>
          </w:tcPr>
          <w:p>
            <w:r>
              <w:t>Top 1</w:t>
            </w:r>
          </w:p>
        </w:tc>
        <w:tc>
          <w:tcPr>
            <w:tcW w:type="dxa" w:w="3135"/>
          </w:tcPr>
          <w:p>
            <w:r>
              <w:t xml:space="preserve">00403A 主動統一升級50  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color w:val="C00000"/>
              </w:rPr>
              <w:t>-2,761,612,524</w:t>
            </w:r>
          </w:p>
        </w:tc>
      </w:tr>
      <w:tr>
        <w:tc>
          <w:tcPr>
            <w:tcW w:type="dxa" w:w="3135"/>
          </w:tcPr>
          <w:p>
            <w:r>
              <w:t>Top 2</w:t>
            </w:r>
          </w:p>
        </w:tc>
        <w:tc>
          <w:tcPr>
            <w:tcW w:type="dxa" w:w="3135"/>
          </w:tcPr>
          <w:p>
            <w:r>
              <w:t>00999A 主動野村臺灣高息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color w:val="C00000"/>
              </w:rPr>
              <w:t>-102,984,445</w:t>
            </w:r>
          </w:p>
        </w:tc>
      </w:tr>
      <w:tr>
        <w:tc>
          <w:tcPr>
            <w:tcW w:type="dxa" w:w="3135"/>
          </w:tcPr>
          <w:p>
            <w:r>
              <w:t>Top 3</w:t>
            </w:r>
          </w:p>
        </w:tc>
        <w:tc>
          <w:tcPr>
            <w:tcW w:type="dxa" w:w="3135"/>
          </w:tcPr>
          <w:p>
            <w:r>
              <w:t xml:space="preserve">009816 凱基台灣TOP50   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color w:val="C00000"/>
              </w:rPr>
              <w:t>-65,873,128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四、技術分析（加權指數）</w:t>
      </w:r>
    </w:p>
    <w:p>
      <w:r>
        <w:rPr>
          <w:i/>
          <w:color w:val="0066CC"/>
          <w:sz w:val="18"/>
        </w:rPr>
        <w:t>※ 資料來源：Yahoo Finance（60日歷史數據計算）</w:t>
      </w:r>
    </w:p>
    <w:p>
      <w:r>
        <w:rPr>
          <w:b/>
        </w:rPr>
        <w:t>📊 均線多空排列：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MA5</w:t>
            </w:r>
          </w:p>
        </w:tc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MA20</w:t>
            </w:r>
          </w:p>
        </w:tc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MA60</w:t>
            </w:r>
          </w:p>
        </w:tc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目前價格</w:t>
            </w:r>
          </w:p>
        </w:tc>
      </w:tr>
      <w:tr>
        <w:tc>
          <w:tcPr>
            <w:tcW w:type="dxa" w:w="2351"/>
          </w:tcPr>
          <w:p>
            <w:r>
              <w:t>41,672.99</w:t>
            </w:r>
          </w:p>
        </w:tc>
        <w:tc>
          <w:tcPr>
            <w:tcW w:type="dxa" w:w="2351"/>
          </w:tcPr>
          <w:p>
            <w:r>
              <w:t>39,162.57</w:t>
            </w:r>
          </w:p>
        </w:tc>
        <w:tc>
          <w:tcPr>
            <w:tcW w:type="dxa" w:w="2351"/>
          </w:tcPr>
          <w:p>
            <w:r>
              <w:t>35,381.76</w:t>
            </w:r>
          </w:p>
        </w:tc>
        <w:tc>
          <w:tcPr>
            <w:tcW w:type="dxa" w:w="2351"/>
          </w:tcPr>
          <w:p>
            <w:r>
              <w:t>41,898.32</w:t>
            </w:r>
          </w:p>
        </w:tc>
      </w:tr>
    </w:tbl>
    <w:p>
      <w:r>
        <w:t>✅ 多頭排列（MA5 &gt; MA20 &gt; MA60）</w:t>
      </w:r>
    </w:p>
    <w:p/>
    <w:p>
      <w:r>
        <w:rPr>
          <w:b/>
        </w:rPr>
        <w:t>📈 KD 指標：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K值</w:t>
            </w:r>
          </w:p>
        </w:tc>
        <w:tc>
          <w:tcPr>
            <w:tcW w:type="dxa" w:w="313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D值</w:t>
            </w:r>
          </w:p>
        </w:tc>
        <w:tc>
          <w:tcPr>
            <w:tcW w:type="dxa" w:w="313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判斷</w:t>
            </w:r>
          </w:p>
        </w:tc>
      </w:tr>
      <w:tr>
        <w:tc>
          <w:tcPr>
            <w:tcW w:type="dxa" w:w="3135"/>
          </w:tcPr>
          <w:p>
            <w:r>
              <w:t>96.21</w:t>
            </w:r>
          </w:p>
        </w:tc>
        <w:tc>
          <w:tcPr>
            <w:tcW w:type="dxa" w:w="3135"/>
          </w:tcPr>
          <w:p>
            <w:r>
              <w:t>95.50</w:t>
            </w:r>
          </w:p>
        </w:tc>
        <w:tc>
          <w:tcPr>
            <w:tcW w:type="dxa" w:w="3135"/>
          </w:tcPr>
          <w:p>
            <w:r>
              <w:t>高檔鈍化（注意回檔）</w:t>
            </w:r>
          </w:p>
        </w:tc>
      </w:tr>
    </w:tbl>
    <w:p/>
    <w:p>
      <w:r>
        <w:rPr>
          <w:b/>
        </w:rPr>
        <w:t>📉 MACD 指標：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MACD 線</w:t>
            </w:r>
          </w:p>
        </w:tc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 線</w:t>
            </w:r>
          </w:p>
        </w:tc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柱狀圖</w:t>
            </w:r>
          </w:p>
        </w:tc>
        <w:tc>
          <w:tcPr>
            <w:tcW w:type="dxa" w:w="23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351"/>
          </w:tcPr>
          <w:p>
            <w:r>
              <w:t>1863.1598</w:t>
            </w:r>
          </w:p>
        </w:tc>
        <w:tc>
          <w:tcPr>
            <w:tcW w:type="dxa" w:w="2351"/>
          </w:tcPr>
          <w:p>
            <w:r>
              <w:t>1716.2556</w:t>
            </w:r>
          </w:p>
        </w:tc>
        <w:tc>
          <w:tcPr>
            <w:tcW w:type="dxa" w:w="2351"/>
          </w:tcPr>
          <w:p>
            <w:r>
              <w:t>146.9041</w:t>
            </w:r>
          </w:p>
        </w:tc>
        <w:tc>
          <w:tcPr>
            <w:tcW w:type="dxa" w:w="2351"/>
          </w:tcPr>
          <w:p>
            <w:r>
              <w:rPr>
                <w:color w:val="008000"/>
              </w:rPr>
              <w:t>📈 正值（多方）</w:t>
            </w:r>
          </w:p>
        </w:tc>
      </w:tr>
    </w:tbl>
    <w:p/>
    <w:p>
      <w:r>
        <w:rPr>
          <w:b/>
        </w:rPr>
        <w:t>🎯 支撐壓力區間：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支撐區間</w:t>
            </w:r>
          </w:p>
        </w:tc>
        <w:tc>
          <w:tcPr>
            <w:tcW w:type="dxa" w:w="4703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壓力區間</w:t>
            </w:r>
          </w:p>
        </w:tc>
      </w:tr>
      <w:tr>
        <w:tc>
          <w:tcPr>
            <w:tcW w:type="dxa" w:w="4703"/>
          </w:tcPr>
          <w:p>
            <w:r>
              <w:rPr>
                <w:color w:val="008000"/>
              </w:rPr>
              <w:t>36,296.12</w:t>
            </w:r>
          </w:p>
        </w:tc>
        <w:tc>
          <w:tcPr>
            <w:tcW w:type="dxa" w:w="4703"/>
          </w:tcPr>
          <w:p>
            <w:r>
              <w:rPr>
                <w:color w:val="C00000"/>
              </w:rPr>
              <w:t>41,933.78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五、熱門標的</w:t>
      </w:r>
    </w:p>
    <w:p>
      <w:r>
        <w:rPr>
          <w:i/>
          <w:color w:val="0066CC"/>
          <w:sz w:val="18"/>
        </w:rPr>
        <w:t>※ 資料來源：台灣證券交易所 + 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折溢價參考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96.85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-0.05%</w:t>
            </w:r>
          </w:p>
        </w:tc>
        <w:tc>
          <w:tcPr>
            <w:tcW w:type="dxa" w:w="1881"/>
          </w:tcPr>
          <w:p>
            <w:r>
              <w:rPr>
                <w:color w:val="707070"/>
                <w:sz w:val="18"/>
              </w:rPr>
              <w:t>藍籌ETF，流動性佳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45.58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-0.39%</w:t>
            </w:r>
          </w:p>
        </w:tc>
        <w:tc>
          <w:tcPr>
            <w:tcW w:type="dxa" w:w="1881"/>
          </w:tcPr>
          <w:p>
            <w:r>
              <w:rPr>
                <w:color w:val="707070"/>
                <w:sz w:val="18"/>
              </w:rPr>
              <w:t>高股息，適合存股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2,255.00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+0.89%</w:t>
            </w:r>
          </w:p>
        </w:tc>
        <w:tc>
          <w:tcPr>
            <w:tcW w:type="dxa" w:w="1881"/>
          </w:tcPr>
          <w:p>
            <w:r>
              <w:rPr>
                <w:color w:val="707070"/>
                <w:sz w:val="18"/>
              </w:rPr>
              <w:t>權值股，波動較大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r>
        <w:rPr>
          <w:b/>
        </w:rPr>
        <w:t>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$293.09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$292.76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+0.41 (+0.14%)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$407.45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$414.42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-5.21 (-1.26%)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$387.44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$387.12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-1.20 (-0.31%)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$264.65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$266.27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-4.34 (-1.61%)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$597.29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$594.41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-1.57 (-0.26%)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$222.67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$218.54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+3.23 (+1.47%)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$440.56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$441.41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-4.44 (-1.00%)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六、台積電 ADR（TSM）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$400.56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0000"/>
                <w:sz w:val="20"/>
              </w:rPr>
              <w:t>$397.75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-3.98 (-0.98%)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r>
        <w:rPr>
          <w:b/>
        </w:rPr>
        <w:t>📌 ADR 溢價差分析：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台積電 2330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TSM ADR</w:t>
            </w:r>
          </w:p>
        </w:tc>
      </w:tr>
      <w:tr>
        <w:tc>
          <w:tcPr>
            <w:tcW w:type="dxa" w:w="3135"/>
          </w:tcPr>
          <w:p>
            <w:r>
              <w:t>收盤價（每股）</w:t>
            </w:r>
          </w:p>
        </w:tc>
        <w:tc>
          <w:tcPr>
            <w:tcW w:type="dxa" w:w="3135"/>
          </w:tcPr>
          <w:p>
            <w:r>
              <w:t>2,255.00 TWD</w:t>
            </w:r>
          </w:p>
        </w:tc>
        <w:tc>
          <w:tcPr>
            <w:tcW w:type="dxa" w:w="3135"/>
          </w:tcPr>
          <w:p>
            <w:r>
              <w:t>2,563.58 TWD（12,817.92 ÷ 5）</w:t>
            </w:r>
          </w:p>
        </w:tc>
      </w:tr>
    </w:tbl>
    <w:p>
      <w:r>
        <w:rPr>
          <w:b/>
          <w:color w:val="008000"/>
        </w:rPr>
        <w:t>溢價差：+13.68%（即時 USD/TWD = 32.00）</w:t>
      </w:r>
      <w:r>
        <w:t xml:space="preserve"> → ADR 相對現貨溢價，國際資金偏多看待</w:t>
      </w:r>
    </w:p>
    <w:p/>
    <w:p>
      <w:pPr>
        <w:pStyle w:val="Heading1"/>
      </w:pPr>
      <w:r>
        <w:rPr>
          <w:color w:val="1F497D"/>
          <w:sz w:val="28"/>
        </w:rPr>
        <w:t>七、明日展望</w:t>
      </w:r>
    </w:p>
    <w:p>
      <w:r>
        <w:rPr>
          <w:b/>
        </w:rPr>
        <w:t>📊 明日操作建議：</w:t>
        <w:br/>
      </w:r>
    </w:p>
    <w:p>
      <w:r>
        <w:rPr>
          <w:b/>
        </w:rPr>
        <w:t>🎯 支撐壓力參考：</w:t>
      </w:r>
      <w:r>
        <w:br/>
        <w:t xml:space="preserve">  • 支撐區間：36,296.12</w:t>
        <w:br/>
        <w:t xml:space="preserve">  • 壓力區間：41,933.78</w:t>
      </w:r>
    </w:p>
    <w:p>
      <w:r>
        <w:rPr>
          <w:b/>
        </w:rPr>
        <w:br/>
        <w:t>📈 法人佈局方向觀察：</w:t>
      </w:r>
      <w:r>
        <w:br/>
        <w:t xml:space="preserve">  • 外资動向：偏多（買賣超 463,313,041 股）</w:t>
        <w:br/>
        <w:t xml:space="preserve">  • 投信動向：偏多（買賣超 8,110,479 股）</w:t>
        <w:br/>
        <w:t xml:space="preserve">  • 自營商動向：偏多（買賣超 319,459,251 股）</w:t>
      </w:r>
    </w:p>
    <w:p>
      <w:r>
        <w:rPr>
          <w:b/>
        </w:rPr>
        <w:br/>
        <w:t>💡 操作建議：</w:t>
      </w:r>
      <w:r>
        <w:br/>
        <w:t xml:space="preserve">  • 市場情緒中立，建議區間操作為主</w:t>
        <w:br/>
        <w:t xml:space="preserve">  • 留意 MA5、MA20 的支撐，若跌破需謹慎</w:t>
        <w:br/>
        <w:t xml:space="preserve">  • ADR 溢價變化可作為國際資金情緒參考</w:t>
      </w:r>
    </w:p>
    <w:p>
      <w:r>
        <w:rPr>
          <w:b/>
        </w:rPr>
        <w:br/>
        <w:t>⚠️ 觀察重點：</w:t>
      </w:r>
      <w:r>
        <w:br/>
        <w:t xml:space="preserve">  • 美股夜盤表現（科技七雄動向）</w:t>
        <w:br/>
        <w:t xml:space="preserve">  • 台積電 ADR 溢價變化</w:t>
        <w:br/>
        <w:t xml:space="preserve">  • 外資買賣超是否持續</w:t>
        <w:br/>
        <w:t xml:space="preserve">  • 期貨夜盤波動情況</w:t>
      </w:r>
    </w:p>
    <w:p/>
    <w:p>
      <w:pPr>
        <w:pStyle w:val="Heading1"/>
      </w:pPr>
      <w:r>
        <w:rPr>
          <w:color w:val="1F497D"/>
          <w:sz w:val="28"/>
        </w:rPr>
        <w:t>八、資料來源與免責聲明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報價、T86 法人數據（https://www.twse.com.tw）</w:t>
      </w:r>
    </w:p>
    <w:p>
      <w:pPr>
        <w:spacing w:after="80"/>
      </w:pPr>
      <w:r>
        <w:rPr>
          <w:b/>
        </w:rPr>
        <w:t>• FinMind API：</w:t>
      </w:r>
      <w:r>
        <w:t>台指期貨夜盤數據（https://api.finmindtrade.com）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報價、技術分析計算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小安股市深度報告｜老闆的專屬理財幫手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