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📊 市場投報率分析報告</w:t>
      </w:r>
    </w:p>
    <w:p>
      <w:pPr>
        <w:jc w:val="center"/>
      </w:pPr>
      <w:r>
        <w:t>📅 日期：2026年05月12日　⏰ 時間：09:03（台灣時間）</w:t>
      </w:r>
    </w:p>
    <w:p/>
    <w:p>
      <w:pPr>
        <w:pStyle w:val="Heading1"/>
      </w:pPr>
      <w:r>
        <w:t>🏆 報酬率排名（近1月）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排名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類別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標的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現價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1月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TSLA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445.00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+26.27%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+39.77%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GOOGL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388.64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+20.95%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+146.11%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台股0050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96.90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+20.22%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+124.02%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台股加權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41,603.94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+17.34%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+96.90%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台股0056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44.85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+16.21%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+47.28%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NVDA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219.44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+15.92%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+78.45%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美股QQQ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713.29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+15.53%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+41.13%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BTC比特幣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81,562.00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+15.28%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-20.66%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AAPL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292.68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+12.92%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+39.27%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2330台積電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2,235.00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+12.31%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+137.03%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AMZN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268.99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+12.13%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+28.93%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台積電ADR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TSM ADR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404.54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+9.46%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+119.03%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美股標普500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7,412.84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+7.65%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+26.84%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美股VTI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363.63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+7.37%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+28.08%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MSFT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412.66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+7.36%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-7.44%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ETH以太幣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2,333.66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+6.45%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-6.52%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美股VT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155.32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+6.09%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+29.99%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不動產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REET不動產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27.41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+3.36%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+15.60%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GLD黃金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434.65</w:t>
            </w:r>
          </w:p>
        </w:tc>
        <w:tc>
          <w:tcPr>
            <w:tcW w:type="dxa" w:w="144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-0.16%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+45.76%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债券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BND债券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73.37</w:t>
            </w:r>
          </w:p>
        </w:tc>
        <w:tc>
          <w:tcPr>
            <w:tcW w:type="dxa" w:w="144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-0.25%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+5.50%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债券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TLT長期美債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85.56</w:t>
            </w:r>
          </w:p>
        </w:tc>
        <w:tc>
          <w:tcPr>
            <w:tcW w:type="dxa" w:w="144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-1.01%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+3.71%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META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598.86</w:t>
            </w:r>
          </w:p>
        </w:tc>
        <w:tc>
          <w:tcPr>
            <w:tcW w:type="dxa" w:w="144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-5.62%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-6.05%</w:t>
            </w:r>
          </w:p>
        </w:tc>
      </w:tr>
    </w:tbl>
    <w:p/>
    <w:p>
      <w:pPr>
        <w:pStyle w:val="Heading1"/>
      </w:pPr>
      <w:r>
        <w:t>🏠 台灣房價指數（2026年3月）</w:t>
      </w:r>
    </w:p>
    <w:p>
      <w:r>
        <w:rPr>
          <w:color w:val="808080"/>
          <w:sz w:val="18"/>
        </w:rPr>
        <w:t>資料來源：清華安富房價指數 / 信義房屋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縣市</w:t>
            </w:r>
          </w:p>
        </w:tc>
        <w:tc>
          <w:tcPr>
            <w:tcW w:type="dxa" w:w="216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指數</w:t>
            </w:r>
          </w:p>
        </w:tc>
        <w:tc>
          <w:tcPr>
            <w:tcW w:type="dxa" w:w="216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月增率</w:t>
            </w:r>
          </w:p>
        </w:tc>
        <w:tc>
          <w:tcPr>
            <w:tcW w:type="dxa" w:w="216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全國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+0.12%</w:t>
            </w:r>
          </w:p>
        </w:tc>
        <w:tc>
          <w:tcPr>
            <w:tcW w:type="dxa" w:w="2160"/>
            <w:shd w:fill="FFC7CE"/>
          </w:tcPr>
          <w:p>
            <w:r>
              <w:rPr>
                <w:b/>
                <w:color w:val="9C0006"/>
              </w:rPr>
              <w:t>-2.47%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台北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+0.10%</w:t>
            </w:r>
          </w:p>
        </w:tc>
        <w:tc>
          <w:tcPr>
            <w:tcW w:type="dxa" w:w="2160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+0.57%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新北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+0.10%</w:t>
            </w:r>
          </w:p>
        </w:tc>
        <w:tc>
          <w:tcPr>
            <w:tcW w:type="dxa" w:w="2160"/>
            <w:shd w:fill="FFC7CE"/>
          </w:tcPr>
          <w:p>
            <w:r>
              <w:rPr>
                <w:b/>
                <w:color w:val="9C0006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台中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+0.11%</w:t>
            </w:r>
          </w:p>
        </w:tc>
        <w:tc>
          <w:tcPr>
            <w:tcW w:type="dxa" w:w="2160"/>
            <w:shd w:fill="FFC7CE"/>
          </w:tcPr>
          <w:p>
            <w:r>
              <w:rPr>
                <w:b/>
                <w:color w:val="9C0006"/>
              </w:rPr>
              <w:t>-4.45%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台南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+0.18%</w:t>
            </w:r>
          </w:p>
        </w:tc>
        <w:tc>
          <w:tcPr>
            <w:tcW w:type="dxa" w:w="2160"/>
            <w:shd w:fill="FFC7CE"/>
          </w:tcPr>
          <w:p>
            <w:r>
              <w:rPr>
                <w:b/>
                <w:color w:val="9C0006"/>
              </w:rPr>
              <w:t>-3.18%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高雄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+0.14%</w:t>
            </w:r>
          </w:p>
        </w:tc>
        <w:tc>
          <w:tcPr>
            <w:tcW w:type="dxa" w:w="2160"/>
            <w:shd w:fill="FFC7CE"/>
          </w:tcPr>
          <w:p>
            <w:r>
              <w:rPr>
                <w:b/>
                <w:color w:val="9C0006"/>
              </w:rPr>
              <w:t>-3.38%</w:t>
            </w:r>
          </w:p>
        </w:tc>
      </w:tr>
    </w:tbl>
    <w:p/>
    <w:p>
      <w:pPr>
        <w:pStyle w:val="Heading1"/>
      </w:pPr>
      <w:r>
        <w:t>💡 分析結論</w:t>
      </w:r>
    </w:p>
    <w:p>
      <w:r>
        <w:rPr>
          <w:b/>
        </w:rPr>
        <w:t>📈 報酬率最高：</w:t>
      </w:r>
      <w:r>
        <w:t>TSLA(+26.27%)、GOOGL(+20.95%)、台股0050(+20.22%)、台股加權(+17.34%)、台股0056(+16.21%)</w:t>
      </w:r>
    </w:p>
    <w:p/>
    <w:p>
      <w:r>
        <w:rPr>
          <w:b/>
        </w:rPr>
        <w:t>📉 報酬率最低：</w:t>
      </w:r>
      <w:r>
        <w:t>BND债券(-0.25%)、TLT長期美債(-1.01%)、META(-5.62%)</w:t>
      </w:r>
    </w:p>
    <w:p/>
    <w:p>
      <w:r>
        <w:rPr>
          <w:b/>
        </w:rPr>
        <w:t>🏠 房市觀察：</w:t>
      </w:r>
      <w:r>
        <w:t>台北市相對抗跌（年增+0.57%），整體市場「量縮價穩」。</w:t>
      </w:r>
    </w:p>
    <w:p/>
    <w:p>
      <w:pPr>
        <w:jc w:val="center"/>
      </w:pPr>
      <w:r>
        <w:rPr>
          <w:color w:val="808080"/>
          <w:sz w:val="18"/>
        </w:rPr>
        <w:t>📌 資料來源：Yahoo Finance（股票/ETF）、清華安富房價指數（不動產）　｜　本報告僅供參考，不構成投資建議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