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56"/>
        </w:rPr>
        <w:t>📈 每日精選三檔股票</w:t>
      </w:r>
    </w:p>
    <w:p>
      <w:pPr>
        <w:jc w:val="center"/>
      </w:pPr>
      <w:r>
        <w:rPr>
          <w:i/>
          <w:color w:val="666666"/>
          <w:sz w:val="28"/>
        </w:rPr>
        <w:t>川寶投顧每天研究三檔股票</w:t>
      </w:r>
    </w:p>
    <w:p>
      <w:pPr>
        <w:jc w:val="center"/>
      </w:pPr>
      <w:r>
        <w:rPr>
          <w:sz w:val="32"/>
        </w:rPr>
        <w:t>2026年04月29日</w:t>
      </w:r>
    </w:p>
    <w:p/>
    <w:p>
      <w:pPr>
        <w:pStyle w:val="Heading1"/>
      </w:pPr>
      <w:r>
        <w:rPr>
          <w:color w:val="1F497D"/>
        </w:rPr>
        <w:t>📋 研究摘要</w:t>
      </w:r>
    </w:p>
    <w:p>
      <w:r>
        <w:t>川寶投顧研究3檔台股：</w:t>
        <w:br/>
        <w:br/>
        <w:t>1. 【智原（2345.TW）】$350 ~ $420（潛在上漲23-47%）</w:t>
        <w:br/>
        <w:br/>
        <w:t>2. 【安馳（3528.TW）】$210 ~ $255（潛在上漲25-52%）</w:t>
        <w:br/>
        <w:br/>
        <w:t>3. 【聯強（6213.TW）】$88 ~ $105（潛在上漲21-45%）</w:t>
      </w:r>
    </w:p>
    <w:p>
      <w:r>
        <w:br w:type="page"/>
      </w:r>
    </w:p>
    <w:p>
      <w:pPr>
        <w:pStyle w:val="Heading1"/>
      </w:pPr>
      <w:r>
        <w:rPr>
          <w:color w:val="1F497D"/>
        </w:rPr>
        <w:t>【智原（2345.TW）】</w:t>
      </w:r>
    </w:p>
    <w:p>
      <w:pPr>
        <w:pStyle w:val="Heading2"/>
      </w:pPr>
      <w:r>
        <w:rPr>
          <w:color w:val="1F497D"/>
        </w:rPr>
        <w:t>📊 基本面資料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股價</w:t>
            </w:r>
          </w:p>
        </w:tc>
        <w:tc>
          <w:tcPr>
            <w:tcW w:type="dxa" w:w="4320"/>
          </w:tcPr>
          <w:p>
            <w:r>
              <w:t>$285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本益比（P/E）</w:t>
            </w:r>
          </w:p>
        </w:tc>
        <w:tc>
          <w:tcPr>
            <w:tcW w:type="dxa" w:w="4320"/>
          </w:tcPr>
          <w:p>
            <w:r>
              <w:t>24.8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每股盈餘（EPS）</w:t>
            </w:r>
          </w:p>
        </w:tc>
        <w:tc>
          <w:tcPr>
            <w:tcW w:type="dxa" w:w="4320"/>
          </w:tcPr>
          <w:p>
            <w:r>
              <w:t>$11.49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ROE</w:t>
            </w:r>
          </w:p>
        </w:tc>
        <w:tc>
          <w:tcPr>
            <w:tcW w:type="dxa" w:w="4320"/>
          </w:tcPr>
          <w:p>
            <w:r>
              <w:t>21.2%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毛利率</w:t>
            </w:r>
          </w:p>
        </w:tc>
        <w:tc>
          <w:tcPr>
            <w:tcW w:type="dxa" w:w="4320"/>
          </w:tcPr>
          <w:p>
            <w:r>
              <w:t>42.5%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營益率</w:t>
            </w:r>
          </w:p>
        </w:tc>
        <w:tc>
          <w:tcPr>
            <w:tcW w:type="dxa" w:w="4320"/>
          </w:tcPr>
          <w:p>
            <w:r>
              <w:t>25.8%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殖利率</w:t>
            </w:r>
          </w:p>
        </w:tc>
        <w:tc>
          <w:tcPr>
            <w:tcW w:type="dxa" w:w="4320"/>
          </w:tcPr>
          <w:p>
            <w:r>
              <w:t>4.2%</w:t>
            </w:r>
          </w:p>
        </w:tc>
      </w:tr>
    </w:tbl>
    <w:p/>
    <w:p>
      <w:pPr>
        <w:pStyle w:val="Heading2"/>
      </w:pPr>
      <w:r>
        <w:rPr>
          <w:color w:val="1F497D"/>
        </w:rPr>
        <w:t>📈 深度分析</w:t>
      </w:r>
    </w:p>
    <w:p>
      <w:pPr>
        <w:spacing w:after="120"/>
      </w:pPr>
      <w:r>
        <w:rPr>
          <w:b/>
        </w:rPr>
        <w:t>基本面評價：</w:t>
      </w:r>
      <w:r>
        <w:t>毛利率42.5%顯示IP組合價值高，軍工認證客戶黏著度強。</w:t>
      </w:r>
    </w:p>
    <w:p>
      <w:pPr>
        <w:spacing w:after="120"/>
      </w:pPr>
      <w:r>
        <w:rPr>
          <w:b/>
        </w:rPr>
        <w:t>財務品質：</w:t>
      </w:r>
      <w:r>
        <w:t>負債比18.5%極低，流動比3.2顯示資金充沛。</w:t>
      </w:r>
    </w:p>
    <w:p>
      <w:pPr>
        <w:spacing w:after="120"/>
      </w:pPr>
      <w:r>
        <w:rPr>
          <w:b/>
        </w:rPr>
        <w:t>成長動能：</w:t>
      </w:r>
      <w:r>
        <w:t>先进驾驶辅助系统（ADAS）晶片需求增加；中國成熟製程去美化轉單；物聯網IC設計服務成長。</w:t>
      </w:r>
    </w:p>
    <w:p>
      <w:pPr>
        <w:spacing w:after="120"/>
      </w:pPr>
      <w:r>
        <w:rPr>
          <w:b/>
        </w:rPr>
        <w:t>產業前景：</w:t>
      </w:r>
      <w:r>
        <w:t>IC設計服務市場持續成長，成熟製程需求穩定，智原做為少數具備完整IP庫的廠商，競爭力強。</w:t>
      </w:r>
    </w:p>
    <w:p>
      <w:pPr>
        <w:spacing w:after="120"/>
      </w:pPr>
      <w:r>
        <w:rPr>
          <w:b/>
        </w:rPr>
        <w:t>風險評估：</w:t>
      </w:r>
      <w:r>
        <w:t>景氣循環影響NRE營收波動；中國客户占比高；先进製程進展落後。</w:t>
      </w:r>
    </w:p>
    <w:p/>
    <w:p>
      <w:pPr>
        <w:pStyle w:val="Heading2"/>
      </w:pPr>
      <w:r>
        <w:rPr>
          <w:color w:val="1F497D"/>
        </w:rPr>
        <w:t>🎯 投資推薦</w:t>
      </w:r>
    </w:p>
    <w:p>
      <w:pPr>
        <w:spacing w:after="120"/>
      </w:pPr>
      <w:r>
        <w:rPr>
          <w:b/>
        </w:rPr>
        <w:t>目標價：</w:t>
      </w:r>
      <w:r>
        <w:t>$350 ~ $420（潛在上漲23-47%）</w:t>
      </w:r>
    </w:p>
    <w:p>
      <w:pPr>
        <w:spacing w:after="120"/>
      </w:pPr>
      <w:r>
        <w:rPr>
          <w:b/>
        </w:rPr>
        <w:t>推薦理由：</w:t>
      </w:r>
      <w:r>
        <w:t>智原為IC設計服務公司，專精成熟製程（28nm以上）特殊應用晶片。軍工、醫療認證週期長，提供穩定客戶基礎。</w:t>
      </w:r>
    </w:p>
    <w:p>
      <w:pPr>
        <w:spacing w:after="120"/>
      </w:pPr>
      <w:r>
        <w:rPr>
          <w:b/>
        </w:rPr>
        <w:t>持有期間：</w:t>
      </w:r>
      <w:r>
        <w:t>波段至長線（3-6個月）</w:t>
      </w:r>
    </w:p>
    <w:p>
      <w:r>
        <w:br w:type="page"/>
      </w:r>
    </w:p>
    <w:p>
      <w:pPr>
        <w:pStyle w:val="Heading1"/>
      </w:pPr>
      <w:r>
        <w:rPr>
          <w:color w:val="1F497D"/>
        </w:rPr>
        <w:t>【安馳（3528.TW）】</w:t>
      </w:r>
    </w:p>
    <w:p>
      <w:pPr>
        <w:pStyle w:val="Heading2"/>
      </w:pPr>
      <w:r>
        <w:rPr>
          <w:color w:val="1F497D"/>
        </w:rPr>
        <w:t>📊 基本面資料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股價</w:t>
            </w:r>
          </w:p>
        </w:tc>
        <w:tc>
          <w:tcPr>
            <w:tcW w:type="dxa" w:w="4320"/>
          </w:tcPr>
          <w:p>
            <w:r>
              <w:t>$168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本益比（P/E）</w:t>
            </w:r>
          </w:p>
        </w:tc>
        <w:tc>
          <w:tcPr>
            <w:tcW w:type="dxa" w:w="4320"/>
          </w:tcPr>
          <w:p>
            <w:r>
              <w:t>17.5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每股盈餘（EPS）</w:t>
            </w:r>
          </w:p>
        </w:tc>
        <w:tc>
          <w:tcPr>
            <w:tcW w:type="dxa" w:w="4320"/>
          </w:tcPr>
          <w:p>
            <w:r>
              <w:t>$9.6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ROE</w:t>
            </w:r>
          </w:p>
        </w:tc>
        <w:tc>
          <w:tcPr>
            <w:tcW w:type="dxa" w:w="4320"/>
          </w:tcPr>
          <w:p>
            <w:r>
              <w:t>24.5%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毛利率</w:t>
            </w:r>
          </w:p>
        </w:tc>
        <w:tc>
          <w:tcPr>
            <w:tcW w:type="dxa" w:w="4320"/>
          </w:tcPr>
          <w:p>
            <w:r>
              <w:t>35.8%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營益率</w:t>
            </w:r>
          </w:p>
        </w:tc>
        <w:tc>
          <w:tcPr>
            <w:tcW w:type="dxa" w:w="4320"/>
          </w:tcPr>
          <w:p>
            <w:r>
              <w:t>21.2%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殖利率</w:t>
            </w:r>
          </w:p>
        </w:tc>
        <w:tc>
          <w:tcPr>
            <w:tcW w:type="dxa" w:w="4320"/>
          </w:tcPr>
          <w:p>
            <w:r>
              <w:t>5.4%</w:t>
            </w:r>
          </w:p>
        </w:tc>
      </w:tr>
    </w:tbl>
    <w:p/>
    <w:p>
      <w:pPr>
        <w:pStyle w:val="Heading2"/>
      </w:pPr>
      <w:r>
        <w:rPr>
          <w:color w:val="1F497D"/>
        </w:rPr>
        <w:t>📈 深度分析</w:t>
      </w:r>
    </w:p>
    <w:p>
      <w:pPr>
        <w:spacing w:after="120"/>
      </w:pPr>
      <w:r>
        <w:rPr>
          <w:b/>
        </w:rPr>
        <w:t>基本面評價：</w:t>
      </w:r>
      <w:r>
        <w:t>毛利率35.8%顯示產品組合優化，代理線涵蓋AI關鍵元件。</w:t>
      </w:r>
    </w:p>
    <w:p>
      <w:pPr>
        <w:spacing w:after="120"/>
      </w:pPr>
      <w:r>
        <w:rPr>
          <w:b/>
        </w:rPr>
        <w:t>財務品質：</w:t>
      </w:r>
      <w:r>
        <w:t>負債比32.1%可控，庫存週轉已明顯改善。</w:t>
      </w:r>
    </w:p>
    <w:p>
      <w:pPr>
        <w:spacing w:after="120"/>
      </w:pPr>
      <w:r>
        <w:rPr>
          <w:b/>
        </w:rPr>
        <w:t>成長動能：</w:t>
      </w:r>
      <w:r>
        <w:t>AI伺服器相關IC代理線需求回升；車用電子需求穩定；物聯網滲透率提升。</w:t>
      </w:r>
    </w:p>
    <w:p>
      <w:pPr>
        <w:spacing w:after="120"/>
      </w:pPr>
      <w:r>
        <w:rPr>
          <w:b/>
        </w:rPr>
        <w:t>產業前景：</w:t>
      </w:r>
      <w:r>
        <w:t>半導體通路景氣在AI需求帶動下回溫，安馳做為輝達供應鏈通路商直接受益。</w:t>
      </w:r>
    </w:p>
    <w:p>
      <w:pPr>
        <w:spacing w:after="120"/>
      </w:pPr>
      <w:r>
        <w:rPr>
          <w:b/>
        </w:rPr>
        <w:t>風險評估：</w:t>
      </w:r>
      <w:r>
        <w:t>通路商毛利偏低；景氣循環影響備貨意願；客户集中度偏高。</w:t>
      </w:r>
    </w:p>
    <w:p/>
    <w:p>
      <w:pPr>
        <w:pStyle w:val="Heading2"/>
      </w:pPr>
      <w:r>
        <w:rPr>
          <w:color w:val="1F497D"/>
        </w:rPr>
        <w:t>🎯 投資推薦</w:t>
      </w:r>
    </w:p>
    <w:p>
      <w:pPr>
        <w:spacing w:after="120"/>
      </w:pPr>
      <w:r>
        <w:rPr>
          <w:b/>
        </w:rPr>
        <w:t>目標價：</w:t>
      </w:r>
      <w:r>
        <w:t>$210 ~ $255（潛在上漲25-52%）</w:t>
      </w:r>
    </w:p>
    <w:p>
      <w:pPr>
        <w:spacing w:after="120"/>
      </w:pPr>
      <w:r>
        <w:rPr>
          <w:b/>
        </w:rPr>
        <w:t>推薦理由：</w:t>
      </w:r>
      <w:r>
        <w:t>安馳為半導體通路商，代理多種IC產品線，涵蓋AI、電源管理、車用領域。庫存調整進入尾聲，2025年重拾成長動能。</w:t>
      </w:r>
    </w:p>
    <w:p>
      <w:pPr>
        <w:spacing w:after="120"/>
      </w:pPr>
      <w:r>
        <w:rPr>
          <w:b/>
        </w:rPr>
        <w:t>持有期間：</w:t>
      </w:r>
      <w:r>
        <w:t>波段至長線（3-6個月）</w:t>
      </w:r>
    </w:p>
    <w:p>
      <w:r>
        <w:br w:type="page"/>
      </w:r>
    </w:p>
    <w:p>
      <w:pPr>
        <w:pStyle w:val="Heading1"/>
      </w:pPr>
      <w:r>
        <w:rPr>
          <w:color w:val="1F497D"/>
        </w:rPr>
        <w:t>【聯強（6213.TW）】</w:t>
      </w:r>
    </w:p>
    <w:p>
      <w:pPr>
        <w:pStyle w:val="Heading2"/>
      </w:pPr>
      <w:r>
        <w:rPr>
          <w:color w:val="1F497D"/>
        </w:rPr>
        <w:t>📊 基本面資料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股價</w:t>
            </w:r>
          </w:p>
        </w:tc>
        <w:tc>
          <w:tcPr>
            <w:tcW w:type="dxa" w:w="4320"/>
          </w:tcPr>
          <w:p>
            <w:r>
              <w:t>$72.5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本益比（P/E）</w:t>
            </w:r>
          </w:p>
        </w:tc>
        <w:tc>
          <w:tcPr>
            <w:tcW w:type="dxa" w:w="4320"/>
          </w:tcPr>
          <w:p>
            <w:r>
              <w:t>12.8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每股盈餘（EPS）</w:t>
            </w:r>
          </w:p>
        </w:tc>
        <w:tc>
          <w:tcPr>
            <w:tcW w:type="dxa" w:w="4320"/>
          </w:tcPr>
          <w:p>
            <w:r>
              <w:t>$5.66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ROE</w:t>
            </w:r>
          </w:p>
        </w:tc>
        <w:tc>
          <w:tcPr>
            <w:tcW w:type="dxa" w:w="4320"/>
          </w:tcPr>
          <w:p>
            <w:r>
              <w:t>18.2%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毛利率</w:t>
            </w:r>
          </w:p>
        </w:tc>
        <w:tc>
          <w:tcPr>
            <w:tcW w:type="dxa" w:w="4320"/>
          </w:tcPr>
          <w:p>
            <w:r>
              <w:t>8.5%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營益率</w:t>
            </w:r>
          </w:p>
        </w:tc>
        <w:tc>
          <w:tcPr>
            <w:tcW w:type="dxa" w:w="4320"/>
          </w:tcPr>
          <w:p>
            <w:r>
              <w:t>4.2%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殖利率</w:t>
            </w:r>
          </w:p>
        </w:tc>
        <w:tc>
          <w:tcPr>
            <w:tcW w:type="dxa" w:w="4320"/>
          </w:tcPr>
          <w:p>
            <w:r>
              <w:t>5.8%</w:t>
            </w:r>
          </w:p>
        </w:tc>
      </w:tr>
    </w:tbl>
    <w:p/>
    <w:p>
      <w:pPr>
        <w:pStyle w:val="Heading2"/>
      </w:pPr>
      <w:r>
        <w:rPr>
          <w:color w:val="1F497D"/>
        </w:rPr>
        <w:t>📈 深度分析</w:t>
      </w:r>
    </w:p>
    <w:p>
      <w:pPr>
        <w:spacing w:after="120"/>
      </w:pPr>
      <w:r>
        <w:rPr>
          <w:b/>
        </w:rPr>
        <w:t>基本面評價：</w:t>
      </w:r>
      <w:r>
        <w:t>通路商毛利偏低但營運穩定，庫存管理能力強。</w:t>
      </w:r>
    </w:p>
    <w:p>
      <w:pPr>
        <w:spacing w:after="120"/>
      </w:pPr>
      <w:r>
        <w:rPr>
          <w:b/>
        </w:rPr>
        <w:t>財務品質：</w:t>
      </w:r>
      <w:r>
        <w:t>負債比42.5%在通路業中屬正常水位，現金流充沛。</w:t>
      </w:r>
    </w:p>
    <w:p>
      <w:pPr>
        <w:spacing w:after="120"/>
      </w:pPr>
      <w:r>
        <w:rPr>
          <w:b/>
        </w:rPr>
        <w:t>成長動能：</w:t>
      </w:r>
      <w:r>
        <w:t>AI PC、商用换机潮；半導體產業需求回升；印度市場擴張。</w:t>
      </w:r>
    </w:p>
    <w:p>
      <w:pPr>
        <w:spacing w:after="120"/>
      </w:pPr>
      <w:r>
        <w:rPr>
          <w:b/>
        </w:rPr>
        <w:t>產業前景：</w:t>
      </w:r>
      <w:r>
        <w:t>3C通路景氣随AI PC换机潮回溫，聯強做為亞洲龍頭直接受益。</w:t>
      </w:r>
    </w:p>
    <w:p>
      <w:pPr>
        <w:spacing w:after="120"/>
      </w:pPr>
      <w:r>
        <w:rPr>
          <w:b/>
        </w:rPr>
        <w:t>風險評估：</w:t>
      </w:r>
      <w:r>
        <w:t>通路商毛利偏低；中國市場需求放緩；景氣循環影響備貨。</w:t>
      </w:r>
    </w:p>
    <w:p/>
    <w:p>
      <w:pPr>
        <w:pStyle w:val="Heading2"/>
      </w:pPr>
      <w:r>
        <w:rPr>
          <w:color w:val="1F497D"/>
        </w:rPr>
        <w:t>🎯 投資推薦</w:t>
      </w:r>
    </w:p>
    <w:p>
      <w:pPr>
        <w:spacing w:after="120"/>
      </w:pPr>
      <w:r>
        <w:rPr>
          <w:b/>
        </w:rPr>
        <w:t>目標價：</w:t>
      </w:r>
      <w:r>
        <w:t>$88 ~ $105（潛在上漲21-45%）</w:t>
      </w:r>
    </w:p>
    <w:p>
      <w:pPr>
        <w:spacing w:after="120"/>
      </w:pPr>
      <w:r>
        <w:rPr>
          <w:b/>
        </w:rPr>
        <w:t>推薦理由：</w:t>
      </w:r>
      <w:r>
        <w:t>聯強為亞洲最大3C通路商，股息收益率5.8%提供穩定現金流。AI PC换机潮带動營運回溫。</w:t>
      </w:r>
    </w:p>
    <w:p>
      <w:pPr>
        <w:spacing w:after="120"/>
      </w:pPr>
      <w:r>
        <w:rPr>
          <w:b/>
        </w:rPr>
        <w:t>持有期間：</w:t>
      </w:r>
      <w:r>
        <w:t>波段至長線（3-6個月）</w:t>
      </w:r>
    </w:p>
    <w:p>
      <w:r>
        <w:br w:type="page"/>
      </w:r>
    </w:p>
    <w:p>
      <w:pPr>
        <w:pStyle w:val="Heading1"/>
      </w:pPr>
      <w:r>
        <w:rPr>
          <w:color w:val="1F497D"/>
        </w:rPr>
        <w:t>📋 重要聲明</w:t>
      </w:r>
    </w:p>
    <w:p>
      <w:r>
        <w:rPr>
          <w:i/>
          <w:color w:val="666666"/>
          <w:sz w:val="22"/>
        </w:rPr>
        <w:t>本報告僅供參考，不構成投資建議。投資有風險，請自行評估。｜川寶投顧｜台股研究團隊</w:t>
      </w:r>
    </w:p>
    <w:p/>
    <w:p>
      <w:r>
        <w:rPr>
          <w:i/>
          <w:color w:val="888888"/>
          <w:sz w:val="20"/>
        </w:rPr>
        <w:t>使用模型：MiniMax M2.7 · Groq GPT-OSS-120B · Gemini 3 Pro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