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台積電 (2330) Q1 2026 財報分析</w:t>
      </w:r>
    </w:p>
    <w:p>
      <w:pPr>
        <w:jc w:val="center"/>
      </w:pPr>
      <w:r>
        <w:rPr>
          <w:color w:val="666666"/>
          <w:sz w:val="28"/>
        </w:rPr>
        <w:t>TSMC Q1 2026 Earnings Report</w:t>
      </w:r>
    </w:p>
    <w:p>
      <w:pPr>
        <w:jc w:val="center"/>
      </w:pPr>
      <w:r>
        <w:rPr>
          <w:color w:val="666666"/>
          <w:sz w:val="20"/>
        </w:rPr>
        <w:t>公告日期：2026年4月16日 | Q1 2026 (1月-3月)</w:t>
      </w:r>
    </w:p>
    <w:p/>
    <w:p>
      <w:pPr>
        <w:spacing w:before="240" w:after="120"/>
      </w:pPr>
      <w:r>
        <w:rPr>
          <w:b/>
          <w:color w:val="1F497D"/>
          <w:sz w:val="28"/>
        </w:rPr>
        <w:t>核心亮點</w:t>
      </w:r>
    </w:p>
    <w:p>
      <w:pPr>
        <w:pStyle w:val="ListBullet"/>
        <w:spacing w:after="60"/>
      </w:pPr>
      <w:r>
        <w:rPr>
          <w:b/>
          <w:sz w:val="24"/>
        </w:rPr>
        <w:t xml:space="preserve">營收: </w:t>
      </w:r>
      <w:r>
        <w:rPr>
          <w:b/>
          <w:sz w:val="24"/>
        </w:rPr>
        <w:t>NT$1,134.10B</w:t>
      </w:r>
      <w:r>
        <w:rPr>
          <w:color w:val="666666"/>
          <w:sz w:val="20"/>
        </w:rPr>
        <w:t xml:space="preserve"> (US$35.90B)</w:t>
      </w:r>
    </w:p>
    <w:p>
      <w:pPr>
        <w:pStyle w:val="ListBullet"/>
        <w:spacing w:after="60"/>
      </w:pPr>
      <w:r>
        <w:rPr>
          <w:b/>
          <w:sz w:val="24"/>
        </w:rPr>
        <w:t xml:space="preserve">淨利: </w:t>
      </w:r>
      <w:r>
        <w:rPr>
          <w:b/>
          <w:color w:val="008000"/>
          <w:sz w:val="24"/>
        </w:rPr>
        <w:t>NT$572.48B</w:t>
      </w:r>
      <w:r>
        <w:rPr>
          <w:color w:val="666666"/>
          <w:sz w:val="20"/>
        </w:rPr>
        <w:t xml:space="preserve"> (YoY +58.3%)</w:t>
      </w:r>
    </w:p>
    <w:p>
      <w:pPr>
        <w:pStyle w:val="ListBullet"/>
        <w:spacing w:after="60"/>
      </w:pPr>
      <w:r>
        <w:rPr>
          <w:b/>
          <w:sz w:val="24"/>
        </w:rPr>
        <w:t xml:space="preserve">稀釋EPS: </w:t>
      </w:r>
      <w:r>
        <w:rPr>
          <w:b/>
          <w:color w:val="008000"/>
          <w:sz w:val="24"/>
        </w:rPr>
        <w:t>NT$22.08</w:t>
      </w:r>
      <w:r>
        <w:rPr>
          <w:color w:val="666666"/>
          <w:sz w:val="20"/>
        </w:rPr>
        <w:t xml:space="preserve"> (YoY +58.3%)</w:t>
      </w:r>
    </w:p>
    <w:p>
      <w:pPr>
        <w:pStyle w:val="ListBullet"/>
        <w:spacing w:after="60"/>
      </w:pPr>
      <w:r>
        <w:rPr>
          <w:b/>
          <w:sz w:val="24"/>
        </w:rPr>
        <w:t xml:space="preserve">毛利率: </w:t>
      </w:r>
      <w:r>
        <w:rPr>
          <w:b/>
          <w:color w:val="008000"/>
          <w:sz w:val="24"/>
        </w:rPr>
        <w:t>66.2%</w:t>
      </w:r>
      <w:r>
        <w:rPr>
          <w:color w:val="666666"/>
          <w:sz w:val="20"/>
        </w:rPr>
        <w:t xml:space="preserve"> (+7.4% YoY)</w:t>
      </w:r>
    </w:p>
    <w:p>
      <w:pPr>
        <w:pStyle w:val="ListBullet"/>
        <w:spacing w:after="60"/>
      </w:pPr>
      <w:r>
        <w:rPr>
          <w:b/>
          <w:sz w:val="24"/>
        </w:rPr>
        <w:t xml:space="preserve">營益率: </w:t>
      </w:r>
      <w:r>
        <w:rPr>
          <w:b/>
          <w:color w:val="008000"/>
          <w:sz w:val="24"/>
        </w:rPr>
        <w:t>58.1%</w:t>
      </w:r>
      <w:r>
        <w:rPr>
          <w:color w:val="666666"/>
          <w:sz w:val="20"/>
        </w:rPr>
        <w:t xml:space="preserve"> (+9.6% YoY)</w:t>
      </w:r>
    </w:p>
    <w:p>
      <w:pPr>
        <w:pStyle w:val="ListBullet"/>
        <w:spacing w:after="60"/>
      </w:pPr>
      <w:r>
        <w:rPr>
          <w:b/>
          <w:sz w:val="24"/>
        </w:rPr>
        <w:t xml:space="preserve">淨利率: </w:t>
      </w:r>
      <w:r>
        <w:rPr>
          <w:b/>
          <w:color w:val="008000"/>
          <w:sz w:val="24"/>
        </w:rPr>
        <w:t>50.5%</w:t>
      </w:r>
      <w:r>
        <w:rPr>
          <w:color w:val="666666"/>
          <w:sz w:val="20"/>
        </w:rPr>
        <w:t xml:space="preserve"> (YoY +7.4%)</w:t>
      </w:r>
    </w:p>
    <w:p>
      <w:pPr>
        <w:pStyle w:val="ListBullet"/>
        <w:spacing w:after="60"/>
      </w:pPr>
      <w:r>
        <w:rPr>
          <w:b/>
          <w:sz w:val="24"/>
        </w:rPr>
        <w:t xml:space="preserve">ROE年化: </w:t>
      </w:r>
      <w:r>
        <w:rPr>
          <w:b/>
          <w:color w:val="008000"/>
          <w:sz w:val="24"/>
        </w:rPr>
        <w:t>40.5%</w:t>
      </w:r>
      <w:r>
        <w:rPr>
          <w:color w:val="666666"/>
          <w:sz w:val="20"/>
        </w:rPr>
        <w:t xml:space="preserve"> (+7.8% YoY)</w:t>
      </w:r>
    </w:p>
    <w:p/>
    <w:p>
      <w:pPr>
        <w:spacing w:before="240" w:after="120"/>
      </w:pPr>
      <w:r>
        <w:rPr>
          <w:b/>
          <w:color w:val="1F497D"/>
          <w:sz w:val="28"/>
        </w:rPr>
        <w:t>損益表分析</w:t>
      </w:r>
    </w:p>
    <w:p>
      <w:pPr>
        <w:pStyle w:val="Heading2"/>
      </w:pPr>
      <w:r>
        <w:rPr>
          <w:color w:val="0066CC"/>
          <w:sz w:val="26"/>
        </w:rPr>
        <w:t>營收表現</w:t>
      </w:r>
    </w:p>
    <w:p>
      <w:pPr>
        <w:pStyle w:val="ListBullet"/>
        <w:spacing w:after="60"/>
      </w:pPr>
      <w:r>
        <w:rPr>
          <w:b/>
          <w:sz w:val="24"/>
        </w:rPr>
        <w:t xml:space="preserve">季度營收: </w:t>
      </w:r>
      <w:r>
        <w:rPr>
          <w:b/>
          <w:sz w:val="24"/>
        </w:rPr>
        <w:t>NT$1,134.10B</w:t>
      </w:r>
    </w:p>
    <w:p>
      <w:pPr>
        <w:pStyle w:val="ListBullet"/>
        <w:spacing w:after="60"/>
      </w:pPr>
      <w:r>
        <w:rPr>
          <w:b/>
          <w:sz w:val="24"/>
        </w:rPr>
        <w:t xml:space="preserve">QoQ: </w:t>
      </w:r>
      <w:r>
        <w:rPr>
          <w:b/>
          <w:sz w:val="24"/>
        </w:rPr>
        <w:t>+8.4%</w:t>
      </w:r>
      <w:r>
        <w:rPr>
          <w:color w:val="666666"/>
          <w:sz w:val="20"/>
        </w:rPr>
        <w:t xml:space="preserve"> (from NT$1,046.09B)</w:t>
      </w:r>
    </w:p>
    <w:p>
      <w:pPr>
        <w:pStyle w:val="ListBullet"/>
        <w:spacing w:after="60"/>
      </w:pPr>
      <w:r>
        <w:rPr>
          <w:b/>
          <w:sz w:val="24"/>
        </w:rPr>
        <w:t xml:space="preserve">YoY: </w:t>
      </w:r>
      <w:r>
        <w:rPr>
          <w:b/>
          <w:sz w:val="24"/>
        </w:rPr>
        <w:t>+35.1%</w:t>
      </w:r>
      <w:r>
        <w:rPr>
          <w:color w:val="666666"/>
          <w:sz w:val="20"/>
        </w:rPr>
        <w:t xml:space="preserve"> (from NT$839.25B)</w:t>
      </w:r>
    </w:p>
    <w:p>
      <w:pPr>
        <w:pStyle w:val="Heading2"/>
      </w:pPr>
      <w:r>
        <w:rPr>
          <w:color w:val="0066CC"/>
          <w:sz w:val="26"/>
        </w:rPr>
        <w:t>獲利能力</w:t>
      </w:r>
    </w:p>
    <w:p>
      <w:pPr>
        <w:pStyle w:val="ListBullet"/>
        <w:spacing w:after="60"/>
      </w:pPr>
      <w:r>
        <w:rPr>
          <w:b/>
          <w:sz w:val="24"/>
        </w:rPr>
        <w:t xml:space="preserve">毛利: </w:t>
      </w:r>
      <w:r>
        <w:rPr>
          <w:b/>
          <w:sz w:val="24"/>
        </w:rPr>
        <w:t>NT$751.30B</w:t>
      </w:r>
      <w:r>
        <w:rPr>
          <w:color w:val="666666"/>
          <w:sz w:val="20"/>
        </w:rPr>
        <w:t xml:space="preserve"> (毛利率 66.2%)</w:t>
      </w:r>
    </w:p>
    <w:p>
      <w:pPr>
        <w:pStyle w:val="ListBullet"/>
        <w:spacing w:after="60"/>
      </w:pPr>
      <w:r>
        <w:rPr>
          <w:b/>
          <w:sz w:val="24"/>
        </w:rPr>
        <w:t xml:space="preserve">營業利益: </w:t>
      </w:r>
      <w:r>
        <w:rPr>
          <w:b/>
          <w:sz w:val="24"/>
        </w:rPr>
        <w:t>NT$658.97B</w:t>
      </w:r>
      <w:r>
        <w:rPr>
          <w:color w:val="666666"/>
          <w:sz w:val="20"/>
        </w:rPr>
        <w:t xml:space="preserve"> (營益率 58.1%)</w:t>
      </w:r>
    </w:p>
    <w:p>
      <w:pPr>
        <w:pStyle w:val="ListBullet"/>
        <w:spacing w:after="60"/>
      </w:pPr>
      <w:r>
        <w:rPr>
          <w:b/>
          <w:sz w:val="24"/>
        </w:rPr>
        <w:t xml:space="preserve">淨利: </w:t>
      </w:r>
      <w:r>
        <w:rPr>
          <w:b/>
          <w:sz w:val="24"/>
        </w:rPr>
        <w:t>NT$572.48B</w:t>
      </w:r>
      <w:r>
        <w:rPr>
          <w:color w:val="666666"/>
          <w:sz w:val="20"/>
        </w:rPr>
        <w:t xml:space="preserve"> (淨利率 50.5%)</w:t>
      </w:r>
    </w:p>
    <w:p>
      <w:pPr>
        <w:pStyle w:val="Heading2"/>
      </w:pPr>
      <w:r>
        <w:rPr>
          <w:color w:val="0066CC"/>
          <w:sz w:val="26"/>
        </w:rPr>
        <w:t>每股盈餘</w:t>
      </w:r>
    </w:p>
    <w:p>
      <w:pPr>
        <w:pStyle w:val="ListBullet"/>
        <w:spacing w:after="60"/>
      </w:pPr>
      <w:r>
        <w:rPr>
          <w:b/>
          <w:sz w:val="24"/>
        </w:rPr>
        <w:t xml:space="preserve">稀釋EPS: </w:t>
      </w:r>
      <w:r>
        <w:rPr>
          <w:b/>
          <w:sz w:val="24"/>
        </w:rPr>
        <w:t>NT$22.08</w:t>
      </w:r>
      <w:r>
        <w:rPr>
          <w:color w:val="666666"/>
          <w:sz w:val="20"/>
        </w:rPr>
        <w:t xml:space="preserve"> (YoY +58.3%)</w:t>
      </w:r>
    </w:p>
    <w:p/>
    <w:p>
      <w:pPr>
        <w:spacing w:before="240" w:after="120"/>
      </w:pPr>
      <w:r>
        <w:rPr>
          <w:b/>
          <w:color w:val="1F497D"/>
          <w:sz w:val="28"/>
        </w:rPr>
        <w:t>先進製程營收佔比</w:t>
      </w:r>
    </w:p>
    <w:p>
      <w:pPr>
        <w:pStyle w:val="ListBullet"/>
        <w:spacing w:after="60"/>
      </w:pPr>
      <w:r>
        <w:rPr>
          <w:b/>
          <w:sz w:val="24"/>
        </w:rPr>
        <w:t xml:space="preserve">3nm: </w:t>
      </w:r>
      <w:r>
        <w:rPr>
          <w:b/>
          <w:color w:val="008000"/>
          <w:sz w:val="24"/>
        </w:rPr>
        <w:t>25%</w:t>
      </w:r>
      <w:r>
        <w:rPr>
          <w:color w:val="666666"/>
          <w:sz w:val="20"/>
        </w:rPr>
        <w:t xml:space="preserve"> (+3% QoQ)</w:t>
      </w:r>
    </w:p>
    <w:p>
      <w:pPr>
        <w:pStyle w:val="ListBullet"/>
        <w:spacing w:after="60"/>
      </w:pPr>
      <w:r>
        <w:rPr>
          <w:b/>
          <w:sz w:val="24"/>
        </w:rPr>
        <w:t xml:space="preserve">5nm: </w:t>
      </w:r>
      <w:r>
        <w:rPr>
          <w:b/>
          <w:color w:val="008000"/>
          <w:sz w:val="24"/>
        </w:rPr>
        <w:t>36%</w:t>
      </w:r>
      <w:r>
        <w:rPr>
          <w:color w:val="666666"/>
          <w:sz w:val="20"/>
        </w:rPr>
        <w:t xml:space="preserve"> (+1% QoQ)</w:t>
      </w:r>
    </w:p>
    <w:p>
      <w:pPr>
        <w:pStyle w:val="ListBullet"/>
        <w:spacing w:after="60"/>
      </w:pPr>
      <w:r>
        <w:rPr>
          <w:b/>
          <w:sz w:val="24"/>
        </w:rPr>
        <w:t xml:space="preserve">7nm: </w:t>
      </w:r>
      <w:r>
        <w:rPr>
          <w:b/>
          <w:color w:val="CC0000"/>
          <w:sz w:val="24"/>
        </w:rPr>
        <w:t>13%</w:t>
      </w:r>
      <w:r>
        <w:rPr>
          <w:color w:val="666666"/>
          <w:sz w:val="20"/>
        </w:rPr>
        <w:t xml:space="preserve"> (-2% QoQ)</w:t>
      </w:r>
    </w:p>
    <w:p>
      <w:pPr>
        <w:pStyle w:val="ListBullet"/>
        <w:spacing w:after="60"/>
      </w:pPr>
      <w:r>
        <w:rPr>
          <w:b/>
          <w:sz w:val="24"/>
        </w:rPr>
        <w:t xml:space="preserve">7nm及以下合計: </w:t>
      </w:r>
      <w:r>
        <w:rPr>
          <w:b/>
          <w:color w:val="008000"/>
          <w:sz w:val="24"/>
        </w:rPr>
        <w:t>74%</w:t>
      </w:r>
      <w:r>
        <w:rPr>
          <w:color w:val="666666"/>
          <w:sz w:val="20"/>
        </w:rPr>
        <w:t xml:space="preserve"> (+2% QoQ)</w:t>
      </w:r>
    </w:p>
    <w:p>
      <w:pPr>
        <w:pStyle w:val="ListBullet"/>
        <w:spacing w:after="60"/>
      </w:pPr>
      <w:r>
        <w:rPr>
          <w:b/>
          <w:sz w:val="24"/>
        </w:rPr>
        <w:t xml:space="preserve">28nm: </w:t>
      </w:r>
      <w:r>
        <w:rPr>
          <w:b/>
          <w:sz w:val="24"/>
        </w:rPr>
        <w:t>7%</w:t>
      </w:r>
      <w:r>
        <w:rPr>
          <w:color w:val="666666"/>
          <w:sz w:val="20"/>
        </w:rPr>
        <w:t xml:space="preserve"> (持平)</w:t>
      </w:r>
    </w:p>
    <w:p>
      <w:pPr>
        <w:pStyle w:val="ListBullet"/>
        <w:spacing w:after="60"/>
      </w:pPr>
      <w:r>
        <w:rPr>
          <w:b/>
          <w:sz w:val="24"/>
        </w:rPr>
        <w:t xml:space="preserve">其他: </w:t>
      </w:r>
      <w:r>
        <w:rPr>
          <w:b/>
          <w:color w:val="CC0000"/>
          <w:sz w:val="24"/>
        </w:rPr>
        <w:t>19%</w:t>
      </w:r>
      <w:r>
        <w:rPr>
          <w:color w:val="666666"/>
          <w:sz w:val="20"/>
        </w:rPr>
        <w:t xml:space="preserve"> (-1% QoQ)</w:t>
      </w:r>
    </w:p>
    <w:p/>
    <w:p>
      <w:pPr>
        <w:spacing w:before="240" w:after="120"/>
      </w:pPr>
      <w:r>
        <w:rPr>
          <w:b/>
          <w:color w:val="1F497D"/>
          <w:sz w:val="28"/>
        </w:rPr>
        <w:t>平台營收分佈</w:t>
      </w:r>
    </w:p>
    <w:p>
      <w:pPr>
        <w:pStyle w:val="ListBullet"/>
        <w:spacing w:after="60"/>
      </w:pPr>
      <w:r>
        <w:rPr>
          <w:b/>
          <w:sz w:val="24"/>
        </w:rPr>
        <w:t xml:space="preserve">HPC/AI: </w:t>
      </w:r>
      <w:r>
        <w:rPr>
          <w:b/>
          <w:color w:val="008000"/>
          <w:sz w:val="24"/>
        </w:rPr>
        <w:t>61%</w:t>
      </w:r>
      <w:r>
        <w:rPr>
          <w:color w:val="666666"/>
          <w:sz w:val="20"/>
        </w:rPr>
        <w:t xml:space="preserve"> (+8% QoQ)</w:t>
      </w:r>
    </w:p>
    <w:p>
      <w:pPr>
        <w:pStyle w:val="ListBullet"/>
        <w:spacing w:after="60"/>
      </w:pPr>
      <w:r>
        <w:rPr>
          <w:b/>
          <w:sz w:val="24"/>
        </w:rPr>
        <w:t xml:space="preserve">智慧手機: </w:t>
      </w:r>
      <w:r>
        <w:rPr>
          <w:b/>
          <w:color w:val="CC0000"/>
          <w:sz w:val="24"/>
        </w:rPr>
        <w:t>26%</w:t>
      </w:r>
      <w:r>
        <w:rPr>
          <w:color w:val="666666"/>
          <w:sz w:val="20"/>
        </w:rPr>
        <w:t xml:space="preserve"> (-4% QoQ)</w:t>
      </w:r>
    </w:p>
    <w:p>
      <w:pPr>
        <w:pStyle w:val="ListBullet"/>
        <w:spacing w:after="60"/>
      </w:pPr>
      <w:r>
        <w:rPr>
          <w:b/>
          <w:sz w:val="24"/>
        </w:rPr>
        <w:t xml:space="preserve">IoT: </w:t>
      </w:r>
      <w:r>
        <w:rPr>
          <w:b/>
          <w:color w:val="008000"/>
          <w:sz w:val="24"/>
        </w:rPr>
        <w:t>6%</w:t>
      </w:r>
      <w:r>
        <w:rPr>
          <w:color w:val="666666"/>
          <w:sz w:val="20"/>
        </w:rPr>
        <w:t xml:space="preserve"> (+1% QoQ)</w:t>
      </w:r>
    </w:p>
    <w:p>
      <w:pPr>
        <w:pStyle w:val="ListBullet"/>
        <w:spacing w:after="60"/>
      </w:pPr>
      <w:r>
        <w:rPr>
          <w:b/>
          <w:sz w:val="24"/>
        </w:rPr>
        <w:t xml:space="preserve">汽車: </w:t>
      </w:r>
      <w:r>
        <w:rPr>
          <w:b/>
          <w:sz w:val="24"/>
        </w:rPr>
        <w:t>4%</w:t>
      </w:r>
      <w:r>
        <w:rPr>
          <w:color w:val="666666"/>
          <w:sz w:val="20"/>
        </w:rPr>
        <w:t xml:space="preserve"> (持平)</w:t>
      </w:r>
    </w:p>
    <w:p>
      <w:pPr>
        <w:pStyle w:val="ListBullet"/>
        <w:spacing w:after="60"/>
      </w:pPr>
      <w:r>
        <w:rPr>
          <w:b/>
          <w:sz w:val="24"/>
        </w:rPr>
        <w:t xml:space="preserve">其他: </w:t>
      </w:r>
      <w:r>
        <w:rPr>
          <w:b/>
          <w:color w:val="CC0000"/>
          <w:sz w:val="24"/>
        </w:rPr>
        <w:t>3%</w:t>
      </w:r>
      <w:r>
        <w:rPr>
          <w:color w:val="666666"/>
          <w:sz w:val="20"/>
        </w:rPr>
        <w:t xml:space="preserve"> (-5% QoQ)</w:t>
      </w:r>
    </w:p>
    <w:p/>
    <w:p>
      <w:pPr>
        <w:spacing w:before="240" w:after="120"/>
      </w:pPr>
      <w:r>
        <w:rPr>
          <w:b/>
          <w:color w:val="1F497D"/>
          <w:sz w:val="28"/>
        </w:rPr>
        <w:t>資產負債表</w:t>
      </w:r>
    </w:p>
    <w:p>
      <w:pPr>
        <w:pStyle w:val="ListBullet"/>
        <w:spacing w:after="60"/>
      </w:pPr>
      <w:r>
        <w:rPr>
          <w:b/>
          <w:sz w:val="24"/>
        </w:rPr>
        <w:t xml:space="preserve">現金及約當現金: </w:t>
      </w:r>
      <w:r>
        <w:rPr>
          <w:b/>
          <w:color w:val="008000"/>
          <w:sz w:val="24"/>
        </w:rPr>
        <w:t>NT$3,383.60B</w:t>
      </w:r>
      <w:r>
        <w:rPr>
          <w:color w:val="666666"/>
          <w:sz w:val="20"/>
        </w:rPr>
        <w:t xml:space="preserve"> (+10.3% QoQ)</w:t>
      </w:r>
    </w:p>
    <w:p>
      <w:pPr>
        <w:pStyle w:val="ListBullet"/>
        <w:spacing w:after="60"/>
      </w:pPr>
      <w:r>
        <w:rPr>
          <w:b/>
          <w:sz w:val="24"/>
        </w:rPr>
        <w:t xml:space="preserve">總資產: </w:t>
      </w:r>
      <w:r>
        <w:rPr>
          <w:b/>
          <w:sz w:val="24"/>
        </w:rPr>
        <w:t>NT$8,660.95B</w:t>
      </w:r>
      <w:r>
        <w:rPr>
          <w:color w:val="666666"/>
          <w:sz w:val="20"/>
        </w:rPr>
        <w:t xml:space="preserve"> (+9.2% QoQ)</w:t>
      </w:r>
    </w:p>
    <w:p>
      <w:pPr>
        <w:pStyle w:val="ListBullet"/>
        <w:spacing w:after="60"/>
      </w:pPr>
      <w:r>
        <w:rPr>
          <w:b/>
          <w:sz w:val="24"/>
        </w:rPr>
        <w:t xml:space="preserve">總負債: </w:t>
      </w:r>
      <w:r>
        <w:rPr>
          <w:b/>
          <w:sz w:val="24"/>
        </w:rPr>
        <w:t>NT$2,728.56B</w:t>
      </w:r>
      <w:r>
        <w:rPr>
          <w:color w:val="666666"/>
          <w:sz w:val="20"/>
        </w:rPr>
        <w:t xml:space="preserve"> (+10.4% QoQ)</w:t>
      </w:r>
    </w:p>
    <w:p>
      <w:pPr>
        <w:pStyle w:val="ListBullet"/>
        <w:spacing w:after="60"/>
      </w:pPr>
      <w:r>
        <w:rPr>
          <w:b/>
          <w:sz w:val="24"/>
        </w:rPr>
        <w:t xml:space="preserve">股東權益: </w:t>
      </w:r>
      <w:r>
        <w:rPr>
          <w:b/>
          <w:sz w:val="24"/>
        </w:rPr>
        <w:t>NT$5,932.39B</w:t>
      </w:r>
      <w:r>
        <w:rPr>
          <w:color w:val="666666"/>
          <w:sz w:val="20"/>
        </w:rPr>
        <w:t xml:space="preserve"> (+8.6% QoQ)</w:t>
      </w:r>
    </w:p>
    <w:p>
      <w:pPr>
        <w:pStyle w:val="ListBullet"/>
        <w:spacing w:after="60"/>
      </w:pPr>
      <w:r>
        <w:rPr>
          <w:b/>
          <w:sz w:val="24"/>
        </w:rPr>
        <w:t xml:space="preserve">負債比率: </w:t>
      </w:r>
      <w:r>
        <w:rPr>
          <w:b/>
          <w:sz w:val="24"/>
        </w:rPr>
        <w:t>31.5%</w:t>
      </w:r>
      <w:r>
        <w:rPr>
          <w:color w:val="666666"/>
          <w:sz w:val="20"/>
        </w:rPr>
        <w:t xml:space="preserve"> (健康水位)</w:t>
      </w:r>
    </w:p>
    <w:p>
      <w:pPr>
        <w:pStyle w:val="ListBullet"/>
        <w:spacing w:after="60"/>
      </w:pPr>
      <w:r>
        <w:rPr>
          <w:b/>
          <w:sz w:val="24"/>
        </w:rPr>
        <w:t xml:space="preserve">應收帳款天數: </w:t>
      </w:r>
      <w:r>
        <w:rPr>
          <w:b/>
          <w:sz w:val="24"/>
        </w:rPr>
        <w:t>26天</w:t>
      </w:r>
      <w:r>
        <w:rPr>
          <w:color w:val="666666"/>
          <w:sz w:val="20"/>
        </w:rPr>
        <w:t xml:space="preserve"> (正常)</w:t>
      </w:r>
    </w:p>
    <w:p>
      <w:pPr>
        <w:pStyle w:val="ListBullet"/>
        <w:spacing w:after="60"/>
      </w:pPr>
      <w:r>
        <w:rPr>
          <w:b/>
          <w:sz w:val="24"/>
        </w:rPr>
        <w:t xml:space="preserve">存貨週轉天數: </w:t>
      </w:r>
      <w:r>
        <w:rPr>
          <w:b/>
          <w:sz w:val="24"/>
        </w:rPr>
        <w:t>80天</w:t>
      </w:r>
      <w:r>
        <w:rPr>
          <w:color w:val="666666"/>
          <w:sz w:val="20"/>
        </w:rPr>
        <w:t xml:space="preserve"> (+6天)</w:t>
      </w:r>
    </w:p>
    <w:p/>
    <w:p>
      <w:pPr>
        <w:spacing w:before="240" w:after="120"/>
      </w:pPr>
      <w:r>
        <w:rPr>
          <w:b/>
          <w:color w:val="1F497D"/>
          <w:sz w:val="28"/>
        </w:rPr>
        <w:t>現金流量</w:t>
      </w:r>
    </w:p>
    <w:p>
      <w:pPr>
        <w:pStyle w:val="ListBullet"/>
        <w:spacing w:after="60"/>
      </w:pPr>
      <w:r>
        <w:rPr>
          <w:b/>
          <w:sz w:val="24"/>
        </w:rPr>
        <w:t xml:space="preserve">營業現金流: </w:t>
      </w:r>
      <w:r>
        <w:rPr>
          <w:b/>
          <w:sz w:val="24"/>
        </w:rPr>
        <w:t>NT$698.97B</w:t>
      </w:r>
    </w:p>
    <w:p>
      <w:pPr>
        <w:pStyle w:val="ListBullet"/>
        <w:spacing w:after="60"/>
      </w:pPr>
      <w:r>
        <w:rPr>
          <w:b/>
          <w:sz w:val="24"/>
        </w:rPr>
        <w:t xml:space="preserve">資本支出: </w:t>
      </w:r>
      <w:r>
        <w:rPr>
          <w:b/>
          <w:sz w:val="24"/>
        </w:rPr>
        <w:t>NT$(350.76)B</w:t>
      </w:r>
    </w:p>
    <w:p>
      <w:pPr>
        <w:pStyle w:val="ListBullet"/>
        <w:spacing w:after="60"/>
      </w:pPr>
      <w:r>
        <w:rPr>
          <w:b/>
          <w:sz w:val="24"/>
        </w:rPr>
        <w:t xml:space="preserve">自由現金流: </w:t>
      </w:r>
      <w:r>
        <w:rPr>
          <w:b/>
          <w:color w:val="008000"/>
          <w:sz w:val="24"/>
        </w:rPr>
        <w:t>NT$348.21B</w:t>
      </w:r>
      <w:r>
        <w:rPr>
          <w:color w:val="666666"/>
          <w:sz w:val="20"/>
        </w:rPr>
        <w:t xml:space="preserve"> (+18.1% YoY)</w:t>
      </w:r>
    </w:p>
    <w:p>
      <w:pPr>
        <w:pStyle w:val="ListBullet"/>
        <w:spacing w:after="60"/>
      </w:pPr>
      <w:r>
        <w:rPr>
          <w:b/>
          <w:sz w:val="24"/>
        </w:rPr>
        <w:t xml:space="preserve">現金股利: </w:t>
      </w:r>
      <w:r>
        <w:rPr>
          <w:b/>
          <w:sz w:val="24"/>
        </w:rPr>
        <w:t>NT$(129.66)B</w:t>
      </w:r>
      <w:r>
        <w:rPr>
          <w:color w:val="666666"/>
          <w:sz w:val="20"/>
        </w:rPr>
        <w:t xml:space="preserve"> (NT$5/股)</w:t>
      </w:r>
    </w:p>
    <w:p>
      <w:pPr>
        <w:pStyle w:val="ListBullet"/>
        <w:spacing w:after="60"/>
      </w:pPr>
      <w:r>
        <w:rPr>
          <w:b/>
          <w:sz w:val="24"/>
        </w:rPr>
        <w:t xml:space="preserve">期末現金: </w:t>
      </w:r>
      <w:r>
        <w:rPr>
          <w:b/>
          <w:sz w:val="24"/>
        </w:rPr>
        <w:t>NT$3,017.40B</w:t>
      </w:r>
    </w:p>
    <w:p/>
    <w:p>
      <w:pPr>
        <w:spacing w:before="240" w:after="120"/>
      </w:pPr>
      <w:r>
        <w:rPr>
          <w:b/>
          <w:color w:val="1F497D"/>
          <w:sz w:val="28"/>
        </w:rPr>
        <w:t>Q2 2026 指引</w:t>
      </w:r>
    </w:p>
    <w:p>
      <w:pPr>
        <w:pStyle w:val="ListBullet"/>
        <w:spacing w:after="60"/>
      </w:pPr>
      <w:r>
        <w:rPr>
          <w:b/>
          <w:sz w:val="24"/>
        </w:rPr>
        <w:t xml:space="preserve">營收預估: </w:t>
      </w:r>
      <w:r>
        <w:rPr>
          <w:b/>
          <w:color w:val="008000"/>
          <w:sz w:val="24"/>
        </w:rPr>
        <w:t>US$39.0B - 40.2B</w:t>
      </w:r>
      <w:r>
        <w:rPr>
          <w:color w:val="666666"/>
          <w:sz w:val="20"/>
        </w:rPr>
        <w:t xml:space="preserve"> (+8-12% QoQ)</w:t>
      </w:r>
    </w:p>
    <w:p>
      <w:pPr>
        <w:pStyle w:val="ListBullet"/>
        <w:spacing w:after="60"/>
      </w:pPr>
      <w:r>
        <w:rPr>
          <w:b/>
          <w:sz w:val="24"/>
        </w:rPr>
        <w:t xml:space="preserve">毛利率: </w:t>
      </w:r>
      <w:r>
        <w:rPr>
          <w:b/>
          <w:sz w:val="24"/>
        </w:rPr>
        <w:t>65.5% - 67.5%</w:t>
      </w:r>
      <w:r>
        <w:rPr>
          <w:color w:val="666666"/>
          <w:sz w:val="20"/>
        </w:rPr>
        <w:t xml:space="preserve"> (維持高檔)</w:t>
      </w:r>
    </w:p>
    <w:p>
      <w:pPr>
        <w:pStyle w:val="ListBullet"/>
        <w:spacing w:after="60"/>
      </w:pPr>
      <w:r>
        <w:rPr>
          <w:b/>
          <w:sz w:val="24"/>
        </w:rPr>
        <w:t xml:space="preserve">營益率: </w:t>
      </w:r>
      <w:r>
        <w:rPr>
          <w:b/>
          <w:sz w:val="24"/>
        </w:rPr>
        <w:t>56.5% - 58.5%</w:t>
      </w:r>
      <w:r>
        <w:rPr>
          <w:color w:val="666666"/>
          <w:sz w:val="20"/>
        </w:rPr>
        <w:t xml:space="preserve"> (維持高檔)</w:t>
      </w:r>
    </w:p>
    <w:p/>
    <w:p>
      <w:pPr>
        <w:spacing w:before="240" w:after="120"/>
      </w:pPr>
      <w:r>
        <w:rPr>
          <w:b/>
          <w:color w:val="1F497D"/>
          <w:sz w:val="28"/>
        </w:rPr>
        <w:t>2026 全年展望</w:t>
      </w:r>
    </w:p>
    <w:p>
      <w:pPr>
        <w:pStyle w:val="ListBullet"/>
        <w:spacing w:after="60"/>
      </w:pPr>
      <w:r>
        <w:rPr>
          <w:b/>
          <w:sz w:val="24"/>
        </w:rPr>
        <w:t xml:space="preserve">營收成長: </w:t>
      </w:r>
      <w:r>
        <w:rPr>
          <w:b/>
          <w:sz w:val="24"/>
        </w:rPr>
        <w:t>+30%以上</w:t>
      </w:r>
      <w:r>
        <w:rPr>
          <w:color w:val="666666"/>
          <w:sz w:val="20"/>
        </w:rPr>
        <w:t xml:space="preserve"> (美元計價)</w:t>
      </w:r>
    </w:p>
    <w:p>
      <w:pPr>
        <w:pStyle w:val="ListBullet"/>
        <w:spacing w:after="60"/>
      </w:pPr>
      <w:r>
        <w:rPr>
          <w:b/>
          <w:sz w:val="24"/>
        </w:rPr>
        <w:t xml:space="preserve">資本支出: </w:t>
      </w:r>
      <w:r>
        <w:rPr>
          <w:b/>
          <w:sz w:val="24"/>
        </w:rPr>
        <w:t>US$52-56B</w:t>
      </w:r>
    </w:p>
    <w:p>
      <w:pPr>
        <w:pStyle w:val="ListBullet"/>
        <w:spacing w:after="60"/>
      </w:pPr>
      <w:r>
        <w:rPr>
          <w:b/>
          <w:sz w:val="24"/>
        </w:rPr>
        <w:t xml:space="preserve">主要動能: </w:t>
      </w:r>
      <w:r>
        <w:rPr>
          <w:b/>
          <w:sz w:val="24"/>
        </w:rPr>
        <w:t>AI晶片需求</w:t>
      </w:r>
      <w:r>
        <w:rPr>
          <w:color w:val="666666"/>
          <w:sz w:val="20"/>
        </w:rPr>
        <w:t xml:space="preserve"> (先進製程)</w:t>
      </w:r>
    </w:p>
    <w:p/>
    <w:p>
      <w:pPr>
        <w:spacing w:before="240" w:after="120"/>
      </w:pPr>
      <w:r>
        <w:rPr>
          <w:b/>
          <w:color w:val="1F497D"/>
          <w:sz w:val="28"/>
        </w:rPr>
        <w:t>投資總結</w:t>
      </w:r>
    </w:p>
    <w:p>
      <w:pPr>
        <w:pStyle w:val="ListBullet"/>
        <w:spacing w:after="60"/>
      </w:pPr>
      <w:r>
        <w:rPr>
          <w:b/>
          <w:sz w:val="24"/>
        </w:rPr>
        <w:t xml:space="preserve">投資評級: </w:t>
      </w:r>
      <w:r>
        <w:rPr>
          <w:b/>
          <w:sz w:val="24"/>
        </w:rPr>
        <w:t>強力買進 (Strong Buy)</w:t>
      </w:r>
    </w:p>
    <w:p>
      <w:pPr>
        <w:pStyle w:val="ListBullet"/>
        <w:spacing w:after="60"/>
      </w:pPr>
      <w:r>
        <w:rPr>
          <w:b/>
          <w:sz w:val="24"/>
        </w:rPr>
        <w:t xml:space="preserve">目標價區間: </w:t>
      </w:r>
      <w:r>
        <w:rPr>
          <w:b/>
          <w:sz w:val="24"/>
        </w:rPr>
        <w:t>NT$2,500 - 2,800</w:t>
      </w:r>
      <w:r>
        <w:rPr>
          <w:color w:val="666666"/>
          <w:sz w:val="20"/>
        </w:rPr>
        <w:t xml:space="preserve"> (內資法人高標)</w:t>
      </w:r>
    </w:p>
    <w:p>
      <w:pPr>
        <w:pStyle w:val="ListBullet"/>
        <w:spacing w:after="60"/>
      </w:pPr>
      <w:r>
        <w:rPr>
          <w:b/>
          <w:sz w:val="24"/>
        </w:rPr>
        <w:t xml:space="preserve">最高目標價: </w:t>
      </w:r>
      <w:r>
        <w:rPr>
          <w:b/>
          <w:sz w:val="24"/>
        </w:rPr>
        <w:t>NT$3,030</w:t>
      </w:r>
      <w:r>
        <w:rPr>
          <w:color w:val="666666"/>
          <w:sz w:val="20"/>
        </w:rPr>
        <w:t xml:space="preserve"> (里昂證券)</w:t>
      </w:r>
    </w:p>
    <w:p>
      <w:pPr>
        <w:pStyle w:val="ListBullet"/>
        <w:spacing w:after="60"/>
      </w:pPr>
      <w:r>
        <w:rPr>
          <w:b/>
          <w:sz w:val="24"/>
        </w:rPr>
        <w:t xml:space="preserve">2026年EPS預估: </w:t>
      </w:r>
      <w:r>
        <w:rPr>
          <w:b/>
          <w:sz w:val="24"/>
        </w:rPr>
        <w:t>NT$93-96元</w:t>
      </w:r>
      <w:r>
        <w:rPr>
          <w:color w:val="666666"/>
          <w:sz w:val="20"/>
        </w:rPr>
        <w:t xml:space="preserve"> (法人共識)</w:t>
      </w:r>
    </w:p>
    <w:p>
      <w:pPr>
        <w:pStyle w:val="ListBullet"/>
        <w:spacing w:after="60"/>
      </w:pPr>
      <w:r>
        <w:rPr>
          <w:b/>
          <w:sz w:val="24"/>
        </w:rPr>
        <w:t xml:space="preserve">本益比(P/E): </w:t>
      </w:r>
      <w:r>
        <w:rPr>
          <w:b/>
          <w:sz w:val="24"/>
        </w:rPr>
        <w:t>26-30倍</w:t>
      </w:r>
      <w:r>
        <w:rPr>
          <w:color w:val="666666"/>
          <w:sz w:val="20"/>
        </w:rPr>
        <w:t xml:space="preserve"> (合理區間)</w:t>
      </w:r>
    </w:p>
    <w:p>
      <w:pPr>
        <w:pStyle w:val="ListBullet"/>
        <w:spacing w:after="60"/>
      </w:pPr>
      <w:r>
        <w:rPr>
          <w:b/>
          <w:sz w:val="24"/>
        </w:rPr>
        <w:t xml:space="preserve">長線策略: </w:t>
      </w:r>
      <w:r>
        <w:rPr>
          <w:b/>
          <w:sz w:val="24"/>
        </w:rPr>
        <w:t>定期定額，持有3-5年</w:t>
      </w:r>
      <w:r>
        <w:rPr>
          <w:color w:val="666666"/>
          <w:sz w:val="20"/>
        </w:rPr>
        <w:t xml:space="preserve"> (適合養股)</w:t>
      </w:r>
    </w:p>
    <w:p>
      <w:pPr>
        <w:pStyle w:val="ListBullet"/>
        <w:spacing w:after="60"/>
      </w:pPr>
      <w:r>
        <w:rPr>
          <w:b/>
          <w:sz w:val="24"/>
        </w:rPr>
        <w:t xml:space="preserve">短線策略: </w:t>
      </w:r>
      <w:r>
        <w:rPr>
          <w:b/>
          <w:sz w:val="24"/>
        </w:rPr>
        <w:t>區間操作</w:t>
      </w:r>
      <w:r>
        <w:rPr>
          <w:color w:val="666666"/>
          <w:sz w:val="20"/>
        </w:rPr>
        <w:t xml:space="preserve"> (支撐 NT$1,800-2,000)</w:t>
      </w:r>
    </w:p>
    <w:p/>
    <w:p>
      <w:r>
        <w:t>——————————————————————————————</w:t>
      </w:r>
    </w:p>
    <w:p>
      <w:pPr>
        <w:jc w:val="center"/>
      </w:pPr>
      <w:r>
        <w:rPr>
          <w:color w:val="666666"/>
          <w:sz w:val="18"/>
        </w:rPr>
        <w:t>川寶投顧小安助理 | 2026年05月02日</w:t>
      </w:r>
    </w:p>
    <w:p>
      <w:pPr>
        <w:jc w:val="center"/>
      </w:pPr>
      <w:r>
        <w:rPr>
          <w:color w:val="CCCCCC"/>
          <w:sz w:val="16"/>
        </w:rPr>
        <w:t>本報告僅供參考，不構成投資建議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