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📊 台積電 (TSM) Q1 2026 財報深度分析</w:t>
      </w:r>
    </w:p>
    <w:p>
      <w:pPr>
        <w:jc w:val="center"/>
      </w:pPr>
      <w:r>
        <w:rPr>
          <w:color w:val="0066CC"/>
          <w:sz w:val="32"/>
        </w:rPr>
        <w:t>完整季度分析報告</w:t>
      </w:r>
    </w:p>
    <w:p>
      <w:pPr>
        <w:jc w:val="center"/>
      </w:pPr>
      <w:r>
        <w:rPr>
          <w:sz w:val="24"/>
        </w:rPr>
        <w:t>報告日期：2026年05月02日</w:t>
      </w:r>
    </w:p>
    <w:p>
      <w:pPr>
        <w:jc w:val="center"/>
      </w:pPr>
      <w:r>
        <w:rPr>
          <w:sz w:val="24"/>
        </w:rPr>
        <w:t>季度：Q1 2026（2026年1月-3月）</w:t>
      </w:r>
    </w:p>
    <w:p>
      <w:pPr>
        <w:jc w:val="center"/>
      </w:pPr>
      <w:r>
        <w:rPr>
          <w:color w:val="999999"/>
          <w:sz w:val="20"/>
        </w:rPr>
        <w:t>資料來源：TSMC Official Press Release (2026-04-16)</w:t>
      </w:r>
    </w:p>
    <w:p/>
    <w:p>
      <w:pPr>
        <w:pStyle w:val="Heading1"/>
      </w:pPr>
      <w:r>
        <w:rPr>
          <w:color w:val="1F497D"/>
        </w:rPr>
        <w:t>📋 執行摘要</w:t>
      </w:r>
    </w:p>
    <w:p>
      <w:r>
        <w:t>【核心亮點】</w:t>
        <w:br/>
        <w:br/>
        <w:t>✅ 營收再創新高：Q1 2026 營收 NT$1,134.10B（US$35.9B），YoY +35.1%，QoQ +8.4%</w:t>
        <w:br/>
        <w:br/>
        <w:t>✅ 獲利能力大爆發：</w:t>
        <w:br/>
        <w:t xml:space="preserve">   • 淨利 NT$572.48B，YoY +58.3%</w:t>
        <w:br/>
        <w:t xml:space="preserve">   • 稀釋EPS NT$22.08，YoY +58.3%</w:t>
        <w:br/>
        <w:t xml:space="preserve">   • 毛利率 66.2%（歷史高水位）</w:t>
        <w:br/>
        <w:t xml:space="preserve">   • 營益率 58.1%</w:t>
        <w:br/>
        <w:t xml:space="preserve">   • 淨利率 50.5%（首次突破50%）</w:t>
        <w:br/>
        <w:br/>
        <w:t>✅ 先進製程主導：7nm及以下佔營收 74%</w:t>
        <w:br/>
        <w:br/>
        <w:t>✅ AI需求爆發：HPC平台佔營收 61%，首次超越智慧手機</w:t>
        <w:br/>
        <w:br/>
        <w:t>✅ 自由現金流充裕：NT$348.21B，年增 +18.1%</w:t>
        <w:br/>
        <w:br/>
        <w:t>✅ Q2 2026 指引強勁：營收 US$39-40.2B，毛利率 65.5%-67.5%</w:t>
        <w:br/>
        <w:br/>
        <w:t>✅ 全年展望：2026年營收成長 30%以上（美元計價）</w:t>
      </w:r>
    </w:p>
    <w:p/>
    <w:p>
      <w:pPr>
        <w:pStyle w:val="Heading1"/>
      </w:pPr>
      <w:r>
        <w:rPr>
          <w:color w:val="1F497D"/>
        </w:rPr>
        <w:t>一、損益表深度分析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1881"/>
          </w:tcPr>
          <w:p>
            <w:r>
              <w:rPr>
                <w:b/>
              </w:rPr>
              <w:t>Q1 2026</w:t>
            </w:r>
          </w:p>
        </w:tc>
        <w:tc>
          <w:tcPr>
            <w:tcW w:type="dxa" w:w="1881"/>
          </w:tcPr>
          <w:p>
            <w:r>
              <w:rPr>
                <w:b/>
              </w:rPr>
              <w:t>Q4 2025</w:t>
            </w:r>
          </w:p>
        </w:tc>
        <w:tc>
          <w:tcPr>
            <w:tcW w:type="dxa" w:w="1881"/>
          </w:tcPr>
          <w:p>
            <w:r>
              <w:rPr>
                <w:b/>
              </w:rPr>
              <w:t>Q1 2025</w:t>
            </w:r>
          </w:p>
        </w:tc>
        <w:tc>
          <w:tcPr>
            <w:tcW w:type="dxa" w:w="1881"/>
          </w:tcPr>
          <w:p>
            <w:r>
              <w:rPr>
                <w:b/>
              </w:rPr>
              <w:t>YoY</w:t>
            </w:r>
          </w:p>
        </w:tc>
      </w:tr>
      <w:tr>
        <w:tc>
          <w:tcPr>
            <w:tcW w:type="dxa" w:w="1881"/>
          </w:tcPr>
          <w:p>
            <w:r>
              <w:t>Revenue (NT$ B)</w:t>
            </w:r>
          </w:p>
        </w:tc>
        <w:tc>
          <w:tcPr>
            <w:tcW w:type="dxa" w:w="1881"/>
          </w:tcPr>
          <w:p>
            <w:r>
              <w:t>1,134.10</w:t>
            </w:r>
          </w:p>
        </w:tc>
        <w:tc>
          <w:tcPr>
            <w:tcW w:type="dxa" w:w="1881"/>
          </w:tcPr>
          <w:p>
            <w:r>
              <w:t>1,046.09</w:t>
            </w:r>
          </w:p>
        </w:tc>
        <w:tc>
          <w:tcPr>
            <w:tcW w:type="dxa" w:w="1881"/>
          </w:tcPr>
          <w:p>
            <w:r>
              <w:t>839.25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+35.1%</w:t>
            </w:r>
          </w:p>
        </w:tc>
      </w:tr>
      <w:tr>
        <w:tc>
          <w:tcPr>
            <w:tcW w:type="dxa" w:w="1881"/>
          </w:tcPr>
          <w:p>
            <w:r>
              <w:t>Revenue (US$ B)</w:t>
            </w:r>
          </w:p>
        </w:tc>
        <w:tc>
          <w:tcPr>
            <w:tcW w:type="dxa" w:w="1881"/>
          </w:tcPr>
          <w:p>
            <w:r>
              <w:t>35.90</w:t>
            </w:r>
          </w:p>
        </w:tc>
        <w:tc>
          <w:tcPr>
            <w:tcW w:type="dxa" w:w="1881"/>
          </w:tcPr>
          <w:p>
            <w:r>
              <w:t>33.73</w:t>
            </w:r>
          </w:p>
        </w:tc>
        <w:tc>
          <w:tcPr>
            <w:tcW w:type="dxa" w:w="1881"/>
          </w:tcPr>
          <w:p>
            <w:r>
              <w:t>25.53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+40.6%</w:t>
            </w:r>
          </w:p>
        </w:tc>
      </w:tr>
      <w:tr>
        <w:tc>
          <w:tcPr>
            <w:tcW w:type="dxa" w:w="1881"/>
          </w:tcPr>
          <w:p>
            <w:r>
              <w:t>Gross Profit (NT$ B)</w:t>
            </w:r>
          </w:p>
        </w:tc>
        <w:tc>
          <w:tcPr>
            <w:tcW w:type="dxa" w:w="1881"/>
          </w:tcPr>
          <w:p>
            <w:r>
              <w:t>751.30</w:t>
            </w:r>
          </w:p>
        </w:tc>
        <w:tc>
          <w:tcPr>
            <w:tcW w:type="dxa" w:w="1881"/>
          </w:tcPr>
          <w:p>
            <w:r>
              <w:t>652.17</w:t>
            </w:r>
          </w:p>
        </w:tc>
        <w:tc>
          <w:tcPr>
            <w:tcW w:type="dxa" w:w="1881"/>
          </w:tcPr>
          <w:p>
            <w:r>
              <w:t>493.43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+52.3%</w:t>
            </w:r>
          </w:p>
        </w:tc>
      </w:tr>
      <w:tr>
        <w:tc>
          <w:tcPr>
            <w:tcW w:type="dxa" w:w="1881"/>
          </w:tcPr>
          <w:p>
            <w:r>
              <w:t>Operating Expenses (NT$ B)</w:t>
            </w:r>
          </w:p>
        </w:tc>
        <w:tc>
          <w:tcPr>
            <w:tcW w:type="dxa" w:w="1881"/>
          </w:tcPr>
          <w:p>
            <w:r>
              <w:t>(94.01)</w:t>
            </w:r>
          </w:p>
        </w:tc>
        <w:tc>
          <w:tcPr>
            <w:tcW w:type="dxa" w:w="1881"/>
          </w:tcPr>
          <w:p>
            <w:r>
              <w:t>(88.19)</w:t>
            </w:r>
          </w:p>
        </w:tc>
        <w:tc>
          <w:tcPr>
            <w:tcW w:type="dxa" w:w="1881"/>
          </w:tcPr>
          <w:p>
            <w:r>
              <w:t>(85.19)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+10.4%</w:t>
            </w:r>
          </w:p>
        </w:tc>
      </w:tr>
      <w:tr>
        <w:tc>
          <w:tcPr>
            <w:tcW w:type="dxa" w:w="1881"/>
          </w:tcPr>
          <w:p>
            <w:r>
              <w:t>Operating Income (NT$ B)</w:t>
            </w:r>
          </w:p>
        </w:tc>
        <w:tc>
          <w:tcPr>
            <w:tcW w:type="dxa" w:w="1881"/>
          </w:tcPr>
          <w:p>
            <w:r>
              <w:t>658.97</w:t>
            </w:r>
          </w:p>
        </w:tc>
        <w:tc>
          <w:tcPr>
            <w:tcW w:type="dxa" w:w="1881"/>
          </w:tcPr>
          <w:p>
            <w:r>
              <w:t>564.73</w:t>
            </w:r>
          </w:p>
        </w:tc>
        <w:tc>
          <w:tcPr>
            <w:tcW w:type="dxa" w:w="1881"/>
          </w:tcPr>
          <w:p>
            <w:r>
              <w:t>406.88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+61.9%</w:t>
            </w:r>
          </w:p>
        </w:tc>
      </w:tr>
      <w:tr>
        <w:tc>
          <w:tcPr>
            <w:tcW w:type="dxa" w:w="1881"/>
          </w:tcPr>
          <w:p>
            <w:r>
              <w:t>Non-Operating Items (NT$ B)</w:t>
            </w:r>
          </w:p>
        </w:tc>
        <w:tc>
          <w:tcPr>
            <w:tcW w:type="dxa" w:w="1881"/>
          </w:tcPr>
          <w:p>
            <w:r>
              <w:t>28.83</w:t>
            </w:r>
          </w:p>
        </w:tc>
        <w:tc>
          <w:tcPr>
            <w:tcW w:type="dxa" w:w="1881"/>
          </w:tcPr>
          <w:p>
            <w:r>
              <w:t>27.46</w:t>
            </w:r>
          </w:p>
        </w:tc>
        <w:tc>
          <w:tcPr>
            <w:tcW w:type="dxa" w:w="1881"/>
          </w:tcPr>
          <w:p>
            <w:r>
              <w:t>23.82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+21.1%</w:t>
            </w:r>
          </w:p>
        </w:tc>
      </w:tr>
      <w:tr>
        <w:tc>
          <w:tcPr>
            <w:tcW w:type="dxa" w:w="1881"/>
          </w:tcPr>
          <w:p>
            <w:r>
              <w:t>Net Income Before Tax</w:t>
            </w:r>
          </w:p>
        </w:tc>
        <w:tc>
          <w:tcPr>
            <w:tcW w:type="dxa" w:w="1881"/>
          </w:tcPr>
          <w:p>
            <w:r>
              <w:t>687.80</w:t>
            </w:r>
          </w:p>
        </w:tc>
        <w:tc>
          <w:tcPr>
            <w:tcW w:type="dxa" w:w="1881"/>
          </w:tcPr>
          <w:p>
            <w:r>
              <w:t>592.19</w:t>
            </w:r>
          </w:p>
        </w:tc>
        <w:tc>
          <w:tcPr>
            <w:tcW w:type="dxa" w:w="1881"/>
          </w:tcPr>
          <w:p>
            <w:r>
              <w:t>430.70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+59.6%</w:t>
            </w:r>
          </w:p>
        </w:tc>
      </w:tr>
      <w:tr>
        <w:tc>
          <w:tcPr>
            <w:tcW w:type="dxa" w:w="1881"/>
          </w:tcPr>
          <w:p>
            <w:r>
              <w:t>Income Tax Expense</w:t>
            </w:r>
          </w:p>
        </w:tc>
        <w:tc>
          <w:tcPr>
            <w:tcW w:type="dxa" w:w="1881"/>
          </w:tcPr>
          <w:p>
            <w:r>
              <w:t>(115.32)</w:t>
            </w:r>
          </w:p>
        </w:tc>
        <w:tc>
          <w:tcPr>
            <w:tcW w:type="dxa" w:w="1881"/>
          </w:tcPr>
          <w:p>
            <w:r>
              <w:t>(86.45)</w:t>
            </w:r>
          </w:p>
        </w:tc>
        <w:tc>
          <w:tcPr>
            <w:tcW w:type="dxa" w:w="1881"/>
          </w:tcPr>
          <w:p>
            <w:r>
              <w:t>(69.14)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+66.8%</w:t>
            </w:r>
          </w:p>
        </w:tc>
      </w:tr>
      <w:tr>
        <w:tc>
          <w:tcPr>
            <w:tcW w:type="dxa" w:w="1881"/>
          </w:tcPr>
          <w:p>
            <w:r>
              <w:t>Net Income (NT$ B)</w:t>
            </w:r>
          </w:p>
        </w:tc>
        <w:tc>
          <w:tcPr>
            <w:tcW w:type="dxa" w:w="1881"/>
          </w:tcPr>
          <w:p>
            <w:r>
              <w:t>572.48</w:t>
            </w:r>
          </w:p>
        </w:tc>
        <w:tc>
          <w:tcPr>
            <w:tcW w:type="dxa" w:w="1881"/>
          </w:tcPr>
          <w:p>
            <w:r>
              <w:t>505.74</w:t>
            </w:r>
          </w:p>
        </w:tc>
        <w:tc>
          <w:tcPr>
            <w:tcW w:type="dxa" w:w="1881"/>
          </w:tcPr>
          <w:p>
            <w:r>
              <w:t>361.56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+58.3%</w:t>
            </w:r>
          </w:p>
        </w:tc>
      </w:tr>
      <w:tr>
        <w:tc>
          <w:tcPr>
            <w:tcW w:type="dxa" w:w="1881"/>
          </w:tcPr>
          <w:p>
            <w:r>
              <w:t>EPS - Diluted (NT$)</w:t>
            </w:r>
          </w:p>
        </w:tc>
        <w:tc>
          <w:tcPr>
            <w:tcW w:type="dxa" w:w="1881"/>
          </w:tcPr>
          <w:p>
            <w:r>
              <w:t>22.08</w:t>
            </w:r>
          </w:p>
        </w:tc>
        <w:tc>
          <w:tcPr>
            <w:tcW w:type="dxa" w:w="1881"/>
          </w:tcPr>
          <w:p>
            <w:r>
              <w:t>19.50</w:t>
            </w:r>
          </w:p>
        </w:tc>
        <w:tc>
          <w:tcPr>
            <w:tcW w:type="dxa" w:w="1881"/>
          </w:tcPr>
          <w:p>
            <w:r>
              <w:t>13.94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+58.3%</w:t>
            </w:r>
          </w:p>
        </w:tc>
      </w:tr>
      <w:tr>
        <w:tc>
          <w:tcPr>
            <w:tcW w:type="dxa" w:w="1881"/>
          </w:tcPr>
          <w:p>
            <w:r>
              <w:t>Shares Outstanding (B)</w:t>
            </w:r>
          </w:p>
        </w:tc>
        <w:tc>
          <w:tcPr>
            <w:tcW w:type="dxa" w:w="1881"/>
          </w:tcPr>
          <w:p>
            <w:r>
              <w:t>25.93</w:t>
            </w:r>
          </w:p>
        </w:tc>
        <w:tc>
          <w:tcPr>
            <w:tcW w:type="dxa" w:w="1881"/>
          </w:tcPr>
          <w:p>
            <w:r>
              <w:t>25.93</w:t>
            </w:r>
          </w:p>
        </w:tc>
        <w:tc>
          <w:tcPr>
            <w:tcW w:type="dxa" w:w="1881"/>
          </w:tcPr>
          <w:p>
            <w:r>
              <w:t>25.93</w:t>
            </w:r>
          </w:p>
        </w:tc>
        <w:tc>
          <w:tcPr>
            <w:tcW w:type="dxa" w:w="1881"/>
          </w:tcPr>
          <w:p>
            <w:r>
              <w:t>0%</w:t>
            </w:r>
          </w:p>
        </w:tc>
      </w:tr>
      <w:tr>
        <w:tc>
          <w:tcPr>
            <w:tcW w:type="dxa" w:w="1881"/>
          </w:tcPr>
          <w:p>
            <w:r>
              <w:t>Gross Margin (%)</w:t>
            </w:r>
          </w:p>
        </w:tc>
        <w:tc>
          <w:tcPr>
            <w:tcW w:type="dxa" w:w="1881"/>
          </w:tcPr>
          <w:p>
            <w:r>
              <w:t>66.2%</w:t>
            </w:r>
          </w:p>
        </w:tc>
        <w:tc>
          <w:tcPr>
            <w:tcW w:type="dxa" w:w="1881"/>
          </w:tcPr>
          <w:p>
            <w:r>
              <w:t>62.3%</w:t>
            </w:r>
          </w:p>
        </w:tc>
        <w:tc>
          <w:tcPr>
            <w:tcW w:type="dxa" w:w="1881"/>
          </w:tcPr>
          <w:p>
            <w:r>
              <w:t>58.8%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+7.4ppts</w:t>
            </w:r>
          </w:p>
        </w:tc>
      </w:tr>
      <w:tr>
        <w:tc>
          <w:tcPr>
            <w:tcW w:type="dxa" w:w="1881"/>
          </w:tcPr>
          <w:p>
            <w:r>
              <w:t>Operating Margin (%)</w:t>
            </w:r>
          </w:p>
        </w:tc>
        <w:tc>
          <w:tcPr>
            <w:tcW w:type="dxa" w:w="1881"/>
          </w:tcPr>
          <w:p>
            <w:r>
              <w:t>58.1%</w:t>
            </w:r>
          </w:p>
        </w:tc>
        <w:tc>
          <w:tcPr>
            <w:tcW w:type="dxa" w:w="1881"/>
          </w:tcPr>
          <w:p>
            <w:r>
              <w:t>54.0%</w:t>
            </w:r>
          </w:p>
        </w:tc>
        <w:tc>
          <w:tcPr>
            <w:tcW w:type="dxa" w:w="1881"/>
          </w:tcPr>
          <w:p>
            <w:r>
              <w:t>48.5%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+9.6ppts</w:t>
            </w:r>
          </w:p>
        </w:tc>
      </w:tr>
      <w:tr>
        <w:tc>
          <w:tcPr>
            <w:tcW w:type="dxa" w:w="1881"/>
          </w:tcPr>
          <w:p>
            <w:r>
              <w:t>Net Profit Margin (%)</w:t>
            </w:r>
          </w:p>
        </w:tc>
        <w:tc>
          <w:tcPr>
            <w:tcW w:type="dxa" w:w="1881"/>
          </w:tcPr>
          <w:p>
            <w:r>
              <w:t>50.5%</w:t>
            </w:r>
          </w:p>
        </w:tc>
        <w:tc>
          <w:tcPr>
            <w:tcW w:type="dxa" w:w="1881"/>
          </w:tcPr>
          <w:p>
            <w:r>
              <w:t>48.3%</w:t>
            </w:r>
          </w:p>
        </w:tc>
        <w:tc>
          <w:tcPr>
            <w:tcW w:type="dxa" w:w="1881"/>
          </w:tcPr>
          <w:p>
            <w:r>
              <w:t>43.1%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+7.4ppts</w:t>
            </w:r>
          </w:p>
        </w:tc>
      </w:tr>
      <w:tr>
        <w:tc>
          <w:tcPr>
            <w:tcW w:type="dxa" w:w="1881"/>
          </w:tcPr>
          <w:p>
            <w:r>
              <w:t>ROE (annualized)</w:t>
            </w:r>
          </w:p>
        </w:tc>
        <w:tc>
          <w:tcPr>
            <w:tcW w:type="dxa" w:w="1881"/>
          </w:tcPr>
          <w:p>
            <w:r>
              <w:t>40.5%</w:t>
            </w:r>
          </w:p>
        </w:tc>
        <w:tc>
          <w:tcPr>
            <w:tcW w:type="dxa" w:w="1881"/>
          </w:tcPr>
          <w:p>
            <w:r>
              <w:t>38.8%</w:t>
            </w:r>
          </w:p>
        </w:tc>
        <w:tc>
          <w:tcPr>
            <w:tcW w:type="dxa" w:w="1881"/>
          </w:tcPr>
          <w:p>
            <w:r>
              <w:t>32.7%</w:t>
            </w:r>
          </w:p>
        </w:tc>
        <w:tc>
          <w:tcPr>
            <w:tcW w:type="dxa" w:w="1881"/>
          </w:tcPr>
          <w:p>
            <w:r>
              <w:rPr>
                <w:b w:val="0"/>
                <w:color w:val="008000"/>
              </w:rPr>
              <w:t>+7.8ppts</w:t>
            </w:r>
          </w:p>
        </w:tc>
      </w:tr>
    </w:tbl>
    <w:p/>
    <w:p>
      <w:r>
        <w:t>【損益表深度解讀】</w:t>
        <w:br/>
        <w:br/>
        <w:t>▶ 營收表現：</w:t>
        <w:br/>
        <w:t>• Q1 營收 NT$1,134.10B（約US$35.9B），再創歷史新高</w:t>
        <w:br/>
        <w:t>• QoQ +8.4%（從Q4的 NT$1,046B 成長）</w:t>
        <w:br/>
        <w:t>• YoY +35.1%（從Q1 2025的 NT$839B 大幅成長）</w:t>
        <w:br/>
        <w:t>• 以美元計價 YoY +40.6%，顯示強勁的產品組合改善</w:t>
        <w:br/>
        <w:br/>
        <w:t>▶ 毛利率分析：</w:t>
        <w:br/>
        <w:t>• 66.2% 的毛利率是歷史高水位，較 Q4 2025 的 62.3% 大幅提升</w:t>
        <w:br/>
        <w:t>• 較 Q1 2025 的 58.8% 提升了 7.4 個百分點</w:t>
        <w:br/>
        <w:t>• 主因：先進製程（3nm/5nm）營收佔比提升至 61%</w:t>
        <w:br/>
        <w:br/>
        <w:t>▶ 營益率分析：</w:t>
        <w:br/>
        <w:t>• 58.1% 的營益率遠高於預期</w:t>
        <w:br/>
        <w:t>• QoQ +4.1ppts，YoY +9.6ppts</w:t>
        <w:br/>
        <w:t>• 顯示規模經濟與良率提升成效顯著</w:t>
        <w:br/>
        <w:br/>
        <w:t>▶ 淨利率分析：</w:t>
        <w:br/>
        <w:t>• 50.5% 是首次突破 50% 大關</w:t>
        <w:br/>
        <w:t>• 代表公司具有極強的訂價能力</w:t>
        <w:br/>
        <w:t>• 扣除所得稅後仍能維持高效獲利</w:t>
        <w:br/>
        <w:br/>
        <w:t>▶ EPS 表現：</w:t>
        <w:br/>
        <w:t>• NT$22.08，QoQ +13.2%，YoY +58.3%</w:t>
        <w:br/>
        <w:t>• 以美國ADR計算約 US$3.49，遠超市場預期</w:t>
        <w:br/>
        <w:br/>
        <w:t>▶ ROE 年化 40.5%：</w:t>
        <w:br/>
        <w:t>• 顯示股东權益報酬率極高</w:t>
        <w:br/>
        <w:t>• 較去年同期 +7.8ppts</w:t>
        <w:br/>
        <w:br/>
        <w:t>【關鍵觀察】</w:t>
        <w:br/>
        <w:t>✅ 台積電的「超級晶片循環」才剛開始</w:t>
        <w:br/>
        <w:t>✅ 先進製程的議價能力超預期</w:t>
        <w:br/>
        <w:t>✅ 毛利率 66% 代表什麼？每賣100元的產品，66元是毛利</w:t>
      </w:r>
    </w:p>
    <w:p/>
    <w:p>
      <w:pPr>
        <w:pStyle w:val="Heading1"/>
      </w:pPr>
      <w:r>
        <w:rPr>
          <w:color w:val="1F497D"/>
        </w:rPr>
        <w:t>二、先進製程營收分析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製程</w:t>
            </w:r>
          </w:p>
        </w:tc>
        <w:tc>
          <w:tcPr>
            <w:tcW w:type="dxa" w:w="2351"/>
          </w:tcPr>
          <w:p>
            <w:r>
              <w:rPr>
                <w:b/>
              </w:rPr>
              <w:t>Q1 2026</w:t>
            </w:r>
          </w:p>
        </w:tc>
        <w:tc>
          <w:tcPr>
            <w:tcW w:type="dxa" w:w="2351"/>
          </w:tcPr>
          <w:p>
            <w:r>
              <w:rPr>
                <w:b/>
              </w:rPr>
              <w:t>Q4 2025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變化</w:t>
            </w:r>
          </w:p>
        </w:tc>
      </w:tr>
      <w:tr>
        <w:tc>
          <w:tcPr>
            <w:tcW w:type="dxa" w:w="2351"/>
          </w:tcPr>
          <w:p>
            <w:r>
              <w:t>3nm</w:t>
            </w:r>
          </w:p>
        </w:tc>
        <w:tc>
          <w:tcPr>
            <w:tcW w:type="dxa" w:w="2351"/>
          </w:tcPr>
          <w:p>
            <w:r>
              <w:t>25%</w:t>
            </w:r>
          </w:p>
        </w:tc>
        <w:tc>
          <w:tcPr>
            <w:tcW w:type="dxa" w:w="2351"/>
          </w:tcPr>
          <w:p>
            <w:r>
              <w:t>22%</w:t>
            </w:r>
          </w:p>
        </w:tc>
        <w:tc>
          <w:tcPr>
            <w:tcW w:type="dxa" w:w="2351"/>
          </w:tcPr>
          <w:p>
            <w:r>
              <w:rPr>
                <w:b w:val="0"/>
                <w:color w:val="008000"/>
              </w:rPr>
              <w:t>+3ppts</w:t>
            </w:r>
          </w:p>
        </w:tc>
      </w:tr>
      <w:tr>
        <w:tc>
          <w:tcPr>
            <w:tcW w:type="dxa" w:w="2351"/>
          </w:tcPr>
          <w:p>
            <w:r>
              <w:t>5nm</w:t>
            </w:r>
          </w:p>
        </w:tc>
        <w:tc>
          <w:tcPr>
            <w:tcW w:type="dxa" w:w="2351"/>
          </w:tcPr>
          <w:p>
            <w:r>
              <w:t>36%</w:t>
            </w:r>
          </w:p>
        </w:tc>
        <w:tc>
          <w:tcPr>
            <w:tcW w:type="dxa" w:w="2351"/>
          </w:tcPr>
          <w:p>
            <w:r>
              <w:t>35%</w:t>
            </w:r>
          </w:p>
        </w:tc>
        <w:tc>
          <w:tcPr>
            <w:tcW w:type="dxa" w:w="2351"/>
          </w:tcPr>
          <w:p>
            <w:r>
              <w:rPr>
                <w:b w:val="0"/>
                <w:color w:val="008000"/>
              </w:rPr>
              <w:t>+1ppt</w:t>
            </w:r>
          </w:p>
        </w:tc>
      </w:tr>
      <w:tr>
        <w:tc>
          <w:tcPr>
            <w:tcW w:type="dxa" w:w="2351"/>
          </w:tcPr>
          <w:p>
            <w:r>
              <w:t>7nm</w:t>
            </w:r>
          </w:p>
        </w:tc>
        <w:tc>
          <w:tcPr>
            <w:tcW w:type="dxa" w:w="2351"/>
          </w:tcPr>
          <w:p>
            <w:r>
              <w:t>13%</w:t>
            </w:r>
          </w:p>
        </w:tc>
        <w:tc>
          <w:tcPr>
            <w:tcW w:type="dxa" w:w="2351"/>
          </w:tcPr>
          <w:p>
            <w:r>
              <w:t>15%</w:t>
            </w:r>
          </w:p>
        </w:tc>
        <w:tc>
          <w:tcPr>
            <w:tcW w:type="dxa" w:w="2351"/>
          </w:tcPr>
          <w:p>
            <w:r>
              <w:rPr>
                <w:b w:val="0"/>
                <w:color w:val="CC0000"/>
              </w:rPr>
              <w:t>-2ppts</w:t>
            </w:r>
          </w:p>
        </w:tc>
      </w:tr>
      <w:tr>
        <w:tc>
          <w:tcPr>
            <w:tcW w:type="dxa" w:w="2351"/>
          </w:tcPr>
          <w:p>
            <w:r>
              <w:t>7nm及以下合計</w:t>
            </w:r>
          </w:p>
        </w:tc>
        <w:tc>
          <w:tcPr>
            <w:tcW w:type="dxa" w:w="2351"/>
          </w:tcPr>
          <w:p>
            <w:r>
              <w:t>74%</w:t>
            </w:r>
          </w:p>
        </w:tc>
        <w:tc>
          <w:tcPr>
            <w:tcW w:type="dxa" w:w="2351"/>
          </w:tcPr>
          <w:p>
            <w:r>
              <w:t>72%</w:t>
            </w:r>
          </w:p>
        </w:tc>
        <w:tc>
          <w:tcPr>
            <w:tcW w:type="dxa" w:w="2351"/>
          </w:tcPr>
          <w:p>
            <w:r>
              <w:t>+2ppts</w:t>
            </w:r>
          </w:p>
        </w:tc>
      </w:tr>
      <w:tr>
        <w:tc>
          <w:tcPr>
            <w:tcW w:type="dxa" w:w="2351"/>
          </w:tcPr>
          <w:p>
            <w:r>
              <w:t>10nm</w:t>
            </w:r>
          </w:p>
        </w:tc>
        <w:tc>
          <w:tcPr>
            <w:tcW w:type="dxa" w:w="2351"/>
          </w:tcPr>
          <w:p>
            <w:r>
              <w:t>0%</w:t>
            </w:r>
          </w:p>
        </w:tc>
        <w:tc>
          <w:tcPr>
            <w:tcW w:type="dxa" w:w="2351"/>
          </w:tcPr>
          <w:p>
            <w:r>
              <w:t>0%</w:t>
            </w:r>
          </w:p>
        </w:tc>
        <w:tc>
          <w:tcPr>
            <w:tcW w:type="dxa" w:w="2351"/>
          </w:tcPr>
          <w:p>
            <w:r>
              <w:t>0</w:t>
            </w:r>
          </w:p>
        </w:tc>
      </w:tr>
      <w:tr>
        <w:tc>
          <w:tcPr>
            <w:tcW w:type="dxa" w:w="2351"/>
          </w:tcPr>
          <w:p>
            <w:r>
              <w:t>16/20nm</w:t>
            </w:r>
          </w:p>
        </w:tc>
        <w:tc>
          <w:tcPr>
            <w:tcW w:type="dxa" w:w="2351"/>
          </w:tcPr>
          <w:p>
            <w:r>
              <w:t>7%</w:t>
            </w:r>
          </w:p>
        </w:tc>
        <w:tc>
          <w:tcPr>
            <w:tcW w:type="dxa" w:w="2351"/>
          </w:tcPr>
          <w:p>
            <w:r>
              <w:t>8%</w:t>
            </w:r>
          </w:p>
        </w:tc>
        <w:tc>
          <w:tcPr>
            <w:tcW w:type="dxa" w:w="2351"/>
          </w:tcPr>
          <w:p>
            <w:r>
              <w:rPr>
                <w:b w:val="0"/>
                <w:color w:val="CC0000"/>
              </w:rPr>
              <w:t>-1ppt</w:t>
            </w:r>
          </w:p>
        </w:tc>
      </w:tr>
      <w:tr>
        <w:tc>
          <w:tcPr>
            <w:tcW w:type="dxa" w:w="2351"/>
          </w:tcPr>
          <w:p>
            <w:r>
              <w:t>28nm</w:t>
            </w:r>
          </w:p>
        </w:tc>
        <w:tc>
          <w:tcPr>
            <w:tcW w:type="dxa" w:w="2351"/>
          </w:tcPr>
          <w:p>
            <w:r>
              <w:t>7%</w:t>
            </w:r>
          </w:p>
        </w:tc>
        <w:tc>
          <w:tcPr>
            <w:tcW w:type="dxa" w:w="2351"/>
          </w:tcPr>
          <w:p>
            <w:r>
              <w:t>7%</w:t>
            </w:r>
          </w:p>
        </w:tc>
        <w:tc>
          <w:tcPr>
            <w:tcW w:type="dxa" w:w="2351"/>
          </w:tcPr>
          <w:p>
            <w:r>
              <w:t>0</w:t>
            </w:r>
          </w:p>
        </w:tc>
      </w:tr>
      <w:tr>
        <w:tc>
          <w:tcPr>
            <w:tcW w:type="dxa" w:w="2351"/>
          </w:tcPr>
          <w:p>
            <w:r>
              <w:t>其他</w:t>
            </w:r>
          </w:p>
        </w:tc>
        <w:tc>
          <w:tcPr>
            <w:tcW w:type="dxa" w:w="2351"/>
          </w:tcPr>
          <w:p>
            <w:r>
              <w:t>19%</w:t>
            </w:r>
          </w:p>
        </w:tc>
        <w:tc>
          <w:tcPr>
            <w:tcW w:type="dxa" w:w="2351"/>
          </w:tcPr>
          <w:p>
            <w:r>
              <w:t>20%</w:t>
            </w:r>
          </w:p>
        </w:tc>
        <w:tc>
          <w:tcPr>
            <w:tcW w:type="dxa" w:w="2351"/>
          </w:tcPr>
          <w:p>
            <w:r>
              <w:rPr>
                <w:b w:val="0"/>
                <w:color w:val="CC0000"/>
              </w:rPr>
              <w:t>-1ppt</w:t>
            </w:r>
          </w:p>
        </w:tc>
      </w:tr>
    </w:tbl>
    <w:p/>
    <w:p>
      <w:r>
        <w:t>【先進製程深度分析】</w:t>
        <w:br/>
        <w:br/>
        <w:t>▶ 製程結構變化：</w:t>
        <w:br/>
        <w:t>• 3nm 佔比從 Q4 25%→26%：蘋果新一代晶片持續放量</w:t>
        <w:br/>
        <w:t>• 5nm 佔比 36%（最大營收來源）：NVIDIA、AMD、Qualcomm 先進晶片</w:t>
        <w:br/>
        <w:t>• 7nm 佔比 13%：主要用於成熟製程需求</w:t>
        <w:br/>
        <w:br/>
        <w:t>▶ 關鍵洞察：</w:t>
        <w:br/>
        <w:t>• 「7nm及以下」已佔 74%，代表 AI/HPC 需求集中在最先進製程</w:t>
        <w:br/>
        <w:t>• 這意味著：</w:t>
        <w:br/>
        <w:t xml:space="preserve">  - 3nm/5nm 產能將持續滿載</w:t>
        <w:br/>
        <w:t xml:space="preserve">  - 議價能力持續增強</w:t>
        <w:br/>
        <w:t xml:space="preserve">  - 毛利率有繼續提升的空間</w:t>
        <w:br/>
        <w:br/>
        <w:t>▶ 與競爭對手比較：</w:t>
        <w:br/>
        <w:t>• 三星：3nm GAA 良率問題尚未完全解決</w:t>
        <w:br/>
        <w:t>• Intel Foundry：仍虧損，搶單能力有限</w:t>
        <w:br/>
        <w:t>• 台積電幾乎壟斷 AI 晶片代工</w:t>
        <w:br/>
        <w:br/>
        <w:t>【結論】</w:t>
        <w:br/>
        <w:t>✅ 先進製程技術領先確立，護城河持續擴寬</w:t>
        <w:br/>
        <w:t>✅ 2026 年資本支出 US$52-56B 將優先擴充 3nm/5nm 產能</w:t>
      </w:r>
    </w:p>
    <w:p/>
    <w:p>
      <w:pPr>
        <w:pStyle w:val="Heading1"/>
      </w:pPr>
      <w:r>
        <w:rPr>
          <w:color w:val="1F497D"/>
        </w:rPr>
        <w:t>三、平台營收分析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351"/>
          </w:tcPr>
          <w:p>
            <w:r>
              <w:rPr>
                <w:b/>
              </w:rPr>
              <w:t>Q1 2026</w:t>
            </w:r>
          </w:p>
        </w:tc>
        <w:tc>
          <w:tcPr>
            <w:tcW w:type="dxa" w:w="2351"/>
          </w:tcPr>
          <w:p>
            <w:r>
              <w:rPr>
                <w:b/>
              </w:rPr>
              <w:t>Q4 2025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變化</w:t>
            </w:r>
          </w:p>
        </w:tc>
      </w:tr>
      <w:tr>
        <w:tc>
          <w:tcPr>
            <w:tcW w:type="dxa" w:w="2351"/>
          </w:tcPr>
          <w:p>
            <w:r>
              <w:t>HPC (含AI/高效能)</w:t>
            </w:r>
          </w:p>
        </w:tc>
        <w:tc>
          <w:tcPr>
            <w:tcW w:type="dxa" w:w="2351"/>
          </w:tcPr>
          <w:p>
            <w:r>
              <w:t>61%</w:t>
            </w:r>
          </w:p>
        </w:tc>
        <w:tc>
          <w:tcPr>
            <w:tcW w:type="dxa" w:w="2351"/>
          </w:tcPr>
          <w:p>
            <w:r>
              <w:t>53%</w:t>
            </w:r>
          </w:p>
        </w:tc>
        <w:tc>
          <w:tcPr>
            <w:tcW w:type="dxa" w:w="2351"/>
          </w:tcPr>
          <w:p>
            <w:r>
              <w:rPr>
                <w:b w:val="0"/>
                <w:color w:val="008000"/>
              </w:rPr>
              <w:t>+8ppts</w:t>
            </w:r>
          </w:p>
        </w:tc>
      </w:tr>
      <w:tr>
        <w:tc>
          <w:tcPr>
            <w:tcW w:type="dxa" w:w="2351"/>
          </w:tcPr>
          <w:p>
            <w:r>
              <w:t>Smartphone (智慧手機)</w:t>
            </w:r>
          </w:p>
        </w:tc>
        <w:tc>
          <w:tcPr>
            <w:tcW w:type="dxa" w:w="2351"/>
          </w:tcPr>
          <w:p>
            <w:r>
              <w:t>26%</w:t>
            </w:r>
          </w:p>
        </w:tc>
        <w:tc>
          <w:tcPr>
            <w:tcW w:type="dxa" w:w="2351"/>
          </w:tcPr>
          <w:p>
            <w:r>
              <w:t>30%</w:t>
            </w:r>
          </w:p>
        </w:tc>
        <w:tc>
          <w:tcPr>
            <w:tcW w:type="dxa" w:w="2351"/>
          </w:tcPr>
          <w:p>
            <w:r>
              <w:rPr>
                <w:b w:val="0"/>
                <w:color w:val="CC0000"/>
              </w:rPr>
              <w:t>-4ppts</w:t>
            </w:r>
          </w:p>
        </w:tc>
      </w:tr>
      <w:tr>
        <w:tc>
          <w:tcPr>
            <w:tcW w:type="dxa" w:w="2351"/>
          </w:tcPr>
          <w:p>
            <w:r>
              <w:t>IoT (物聯網)</w:t>
            </w:r>
          </w:p>
        </w:tc>
        <w:tc>
          <w:tcPr>
            <w:tcW w:type="dxa" w:w="2351"/>
          </w:tcPr>
          <w:p>
            <w:r>
              <w:t>6%</w:t>
            </w:r>
          </w:p>
        </w:tc>
        <w:tc>
          <w:tcPr>
            <w:tcW w:type="dxa" w:w="2351"/>
          </w:tcPr>
          <w:p>
            <w:r>
              <w:t>5%</w:t>
            </w:r>
          </w:p>
        </w:tc>
        <w:tc>
          <w:tcPr>
            <w:tcW w:type="dxa" w:w="2351"/>
          </w:tcPr>
          <w:p>
            <w:r>
              <w:rPr>
                <w:b w:val="0"/>
                <w:color w:val="008000"/>
              </w:rPr>
              <w:t>+1ppt</w:t>
            </w:r>
          </w:p>
        </w:tc>
      </w:tr>
      <w:tr>
        <w:tc>
          <w:tcPr>
            <w:tcW w:type="dxa" w:w="2351"/>
          </w:tcPr>
          <w:p>
            <w:r>
              <w:t>Automotive (汽車)</w:t>
            </w:r>
          </w:p>
        </w:tc>
        <w:tc>
          <w:tcPr>
            <w:tcW w:type="dxa" w:w="2351"/>
          </w:tcPr>
          <w:p>
            <w:r>
              <w:t>4%</w:t>
            </w:r>
          </w:p>
        </w:tc>
        <w:tc>
          <w:tcPr>
            <w:tcW w:type="dxa" w:w="2351"/>
          </w:tcPr>
          <w:p>
            <w:r>
              <w:t>4%</w:t>
            </w:r>
          </w:p>
        </w:tc>
        <w:tc>
          <w:tcPr>
            <w:tcW w:type="dxa" w:w="2351"/>
          </w:tcPr>
          <w:p>
            <w:r>
              <w:t>0</w:t>
            </w:r>
          </w:p>
        </w:tc>
      </w:tr>
      <w:tr>
        <w:tc>
          <w:tcPr>
            <w:tcW w:type="dxa" w:w="2351"/>
          </w:tcPr>
          <w:p>
            <w:r>
              <w:t>Others (其他)</w:t>
            </w:r>
          </w:p>
        </w:tc>
        <w:tc>
          <w:tcPr>
            <w:tcW w:type="dxa" w:w="2351"/>
          </w:tcPr>
          <w:p>
            <w:r>
              <w:t>3%</w:t>
            </w:r>
          </w:p>
        </w:tc>
        <w:tc>
          <w:tcPr>
            <w:tcW w:type="dxa" w:w="2351"/>
          </w:tcPr>
          <w:p>
            <w:r>
              <w:t>8%</w:t>
            </w:r>
          </w:p>
        </w:tc>
        <w:tc>
          <w:tcPr>
            <w:tcW w:type="dxa" w:w="2351"/>
          </w:tcPr>
          <w:p>
            <w:r>
              <w:rPr>
                <w:b w:val="0"/>
                <w:color w:val="CC0000"/>
              </w:rPr>
              <w:t>-5ppts</w:t>
            </w:r>
          </w:p>
        </w:tc>
      </w:tr>
    </w:tbl>
    <w:p/>
    <w:p>
      <w:r>
        <w:t>【平台營收深度分析】</w:t>
        <w:br/>
        <w:br/>
        <w:t>▶ HPC 平台（AI晶片）首度突破 60%：</w:t>
        <w:br/>
        <w:t>• Q1 2026 佔 61%，Q4 2025 僅 53%</w:t>
        <w:br/>
        <w:t>• 這個數據「極為關鍵」：</w:t>
        <w:br/>
        <w:t xml:space="preserve">  - 代表 AI 晶片需求是真正的超級循環</w:t>
        <w:br/>
        <w:t xml:space="preserve">  - 不是短期庫存調整，而是結構性需求</w:t>
        <w:br/>
        <w:t>• 主要客戶：NVIDIA (H100/H200/B100)、AMD、Google TPU、AWS Trainium</w:t>
        <w:br/>
        <w:br/>
        <w:t>▶ 智慧手機佔比下降：</w:t>
        <w:br/>
        <w:t>• 從 Q4 30% 降至 Q1 26%</w:t>
        <w:br/>
        <w:t>• 但仍為第二大平台</w:t>
        <w:br/>
        <w:t>• 旗艦手機（iPhone 17）下半年備貨預計拉高 Q3/Q4</w:t>
        <w:br/>
        <w:br/>
        <w:t>▶ IoT 小幅成長：</w:t>
        <w:br/>
        <w:t>• 6% 佔比，智慧家庭、邊緣運算需求穩定</w:t>
        <w:br/>
        <w:br/>
        <w:t>▶ 汽車持平：</w:t>
        <w:br/>
        <w:t>• 4%，電動車長期成長動能仍在</w:t>
        <w:br/>
        <w:br/>
        <w:t>【關鍵結論】</w:t>
        <w:br/>
        <w:t>✅ AI 需求才是本波的真正驅動</w:t>
        <w:br/>
        <w:t>✅ 台積電是 AI 泡沫唯一的「軍火商」</w:t>
        <w:br/>
        <w:t>✅ 2026 全年 HPC 平台預估維持 55-60% 以上</w:t>
      </w:r>
    </w:p>
    <w:p/>
    <w:p>
      <w:pPr>
        <w:pStyle w:val="Heading1"/>
      </w:pPr>
      <w:r>
        <w:rPr>
          <w:color w:val="1F497D"/>
        </w:rPr>
        <w:t>四、資產負債表分析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項目 (NT$ B)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Q1 2026</w:t>
            </w:r>
          </w:p>
        </w:tc>
        <w:tc>
          <w:tcPr>
            <w:tcW w:type="dxa" w:w="3135"/>
          </w:tcPr>
          <w:p>
            <w:r>
              <w:rPr>
                <w:b/>
              </w:rPr>
              <w:t>Q4 2025</w:t>
            </w:r>
          </w:p>
        </w:tc>
      </w:tr>
      <w:tr>
        <w:tc>
          <w:tcPr>
            <w:tcW w:type="dxa" w:w="3135"/>
          </w:tcPr>
          <w:p>
            <w:r>
              <w:t>Cash &amp; Securities (現金)</w:t>
            </w:r>
          </w:p>
        </w:tc>
        <w:tc>
          <w:tcPr>
            <w:tcW w:type="dxa" w:w="3135"/>
          </w:tcPr>
          <w:p>
            <w:r>
              <w:t>3,383.60</w:t>
            </w:r>
          </w:p>
        </w:tc>
        <w:tc>
          <w:tcPr>
            <w:tcW w:type="dxa" w:w="3135"/>
          </w:tcPr>
          <w:p>
            <w:r>
              <w:t>3,068.59</w:t>
            </w:r>
          </w:p>
        </w:tc>
      </w:tr>
      <w:tr>
        <w:tc>
          <w:tcPr>
            <w:tcW w:type="dxa" w:w="3135"/>
          </w:tcPr>
          <w:p>
            <w:r>
              <w:t>A/R (應收帳款)</w:t>
            </w:r>
          </w:p>
        </w:tc>
        <w:tc>
          <w:tcPr>
            <w:tcW w:type="dxa" w:w="3135"/>
          </w:tcPr>
          <w:p>
            <w:r>
              <w:t>363.01</w:t>
            </w:r>
          </w:p>
        </w:tc>
        <w:tc>
          <w:tcPr>
            <w:tcW w:type="dxa" w:w="3135"/>
          </w:tcPr>
          <w:p>
            <w:r>
              <w:t>281.79</w:t>
            </w:r>
          </w:p>
        </w:tc>
      </w:tr>
      <w:tr>
        <w:tc>
          <w:tcPr>
            <w:tcW w:type="dxa" w:w="3135"/>
          </w:tcPr>
          <w:p>
            <w:r>
              <w:t>Inventories (存貨)</w:t>
            </w:r>
          </w:p>
        </w:tc>
        <w:tc>
          <w:tcPr>
            <w:tcW w:type="dxa" w:w="3135"/>
          </w:tcPr>
          <w:p>
            <w:r>
              <w:t>311.45</w:t>
            </w:r>
          </w:p>
        </w:tc>
        <w:tc>
          <w:tcPr>
            <w:tcW w:type="dxa" w:w="3135"/>
          </w:tcPr>
          <w:p>
            <w:r>
              <w:t>288.11</w:t>
            </w:r>
          </w:p>
        </w:tc>
      </w:tr>
      <w:tr>
        <w:tc>
          <w:tcPr>
            <w:tcW w:type="dxa" w:w="3135"/>
          </w:tcPr>
          <w:p>
            <w:r>
              <w:t>Long-term Investments</w:t>
            </w:r>
          </w:p>
        </w:tc>
        <w:tc>
          <w:tcPr>
            <w:tcW w:type="dxa" w:w="3135"/>
          </w:tcPr>
          <w:p>
            <w:r>
              <w:t>166.57</w:t>
            </w:r>
          </w:p>
        </w:tc>
        <w:tc>
          <w:tcPr>
            <w:tcW w:type="dxa" w:w="3135"/>
          </w:tcPr>
          <w:p>
            <w:r>
              <w:t>172.37</w:t>
            </w:r>
          </w:p>
        </w:tc>
      </w:tr>
      <w:tr>
        <w:tc>
          <w:tcPr>
            <w:tcW w:type="dxa" w:w="3135"/>
          </w:tcPr>
          <w:p>
            <w:r>
              <w:t>Net PP&amp;E (固定資產)</w:t>
            </w:r>
          </w:p>
        </w:tc>
        <w:tc>
          <w:tcPr>
            <w:tcW w:type="dxa" w:w="3135"/>
          </w:tcPr>
          <w:p>
            <w:r>
              <w:t>3,954.68</w:t>
            </w:r>
          </w:p>
        </w:tc>
        <w:tc>
          <w:tcPr>
            <w:tcW w:type="dxa" w:w="3135"/>
          </w:tcPr>
          <w:p>
            <w:r>
              <w:t>3,691.84</w:t>
            </w:r>
          </w:p>
        </w:tc>
      </w:tr>
      <w:tr>
        <w:tc>
          <w:tcPr>
            <w:tcW w:type="dxa" w:w="3135"/>
          </w:tcPr>
          <w:p>
            <w:r>
              <w:t>Total Assets (總資產)</w:t>
            </w:r>
          </w:p>
        </w:tc>
        <w:tc>
          <w:tcPr>
            <w:tcW w:type="dxa" w:w="3135"/>
          </w:tcPr>
          <w:p>
            <w:r>
              <w:t>8,660.95</w:t>
            </w:r>
          </w:p>
        </w:tc>
        <w:tc>
          <w:tcPr>
            <w:tcW w:type="dxa" w:w="3135"/>
          </w:tcPr>
          <w:p>
            <w:r>
              <w:t>7,933.02</w:t>
            </w:r>
          </w:p>
        </w:tc>
      </w:tr>
      <w:tr>
        <w:tc>
          <w:tcPr>
            <w:tcW w:type="dxa" w:w="3135"/>
          </w:tcPr>
          <w:p>
            <w:r>
              <w:t>Current Liabilities</w:t>
            </w:r>
          </w:p>
        </w:tc>
        <w:tc>
          <w:tcPr>
            <w:tcW w:type="dxa" w:w="3135"/>
          </w:tcPr>
          <w:p>
            <w:r>
              <w:t>1,714.25</w:t>
            </w:r>
          </w:p>
        </w:tc>
        <w:tc>
          <w:tcPr>
            <w:tcW w:type="dxa" w:w="3135"/>
          </w:tcPr>
          <w:p>
            <w:r>
              <w:t>1,458.02</w:t>
            </w:r>
          </w:p>
        </w:tc>
      </w:tr>
      <w:tr>
        <w:tc>
          <w:tcPr>
            <w:tcW w:type="dxa" w:w="3135"/>
          </w:tcPr>
          <w:p>
            <w:r>
              <w:t>Long-term Debts</w:t>
            </w:r>
          </w:p>
        </w:tc>
        <w:tc>
          <w:tcPr>
            <w:tcW w:type="dxa" w:w="3135"/>
          </w:tcPr>
          <w:p>
            <w:r>
              <w:t>901.02</w:t>
            </w:r>
          </w:p>
        </w:tc>
        <w:tc>
          <w:tcPr>
            <w:tcW w:type="dxa" w:w="3135"/>
          </w:tcPr>
          <w:p>
            <w:r>
              <w:t>896.06</w:t>
            </w:r>
          </w:p>
        </w:tc>
      </w:tr>
      <w:tr>
        <w:tc>
          <w:tcPr>
            <w:tcW w:type="dxa" w:w="3135"/>
          </w:tcPr>
          <w:p>
            <w:r>
              <w:t>Total Liabilities</w:t>
            </w:r>
          </w:p>
        </w:tc>
        <w:tc>
          <w:tcPr>
            <w:tcW w:type="dxa" w:w="3135"/>
          </w:tcPr>
          <w:p>
            <w:r>
              <w:t>2,728.56</w:t>
            </w:r>
          </w:p>
        </w:tc>
        <w:tc>
          <w:tcPr>
            <w:tcW w:type="dxa" w:w="3135"/>
          </w:tcPr>
          <w:p>
            <w:r>
              <w:t>2,472.23</w:t>
            </w:r>
          </w:p>
        </w:tc>
      </w:tr>
      <w:tr>
        <w:tc>
          <w:tcPr>
            <w:tcW w:type="dxa" w:w="3135"/>
          </w:tcPr>
          <w:p>
            <w:r>
              <w:t>Shareholders Equity</w:t>
            </w:r>
          </w:p>
        </w:tc>
        <w:tc>
          <w:tcPr>
            <w:tcW w:type="dxa" w:w="3135"/>
          </w:tcPr>
          <w:p>
            <w:r>
              <w:t>5,932.39</w:t>
            </w:r>
          </w:p>
        </w:tc>
        <w:tc>
          <w:tcPr>
            <w:tcW w:type="dxa" w:w="3135"/>
          </w:tcPr>
          <w:p>
            <w:r>
              <w:t>5,460.79</w:t>
            </w:r>
          </w:p>
        </w:tc>
      </w:tr>
      <w:tr>
        <w:tc>
          <w:tcPr>
            <w:tcW w:type="dxa" w:w="3135"/>
          </w:tcPr>
          <w:p>
            <w:r>
              <w:t>Liability Ratio</w:t>
            </w:r>
          </w:p>
        </w:tc>
        <w:tc>
          <w:tcPr>
            <w:tcW w:type="dxa" w:w="3135"/>
          </w:tcPr>
          <w:p>
            <w:r>
              <w:t>31.5%</w:t>
            </w:r>
          </w:p>
        </w:tc>
        <w:tc>
          <w:tcPr>
            <w:tcW w:type="dxa" w:w="3135"/>
          </w:tcPr>
          <w:p>
            <w:r>
              <w:t>31.2%</w:t>
            </w:r>
          </w:p>
        </w:tc>
      </w:tr>
      <w:tr>
        <w:tc>
          <w:tcPr>
            <w:tcW w:type="dxa" w:w="3135"/>
          </w:tcPr>
          <w:p>
            <w:r>
              <w:t>A/R Turnover Days</w:t>
            </w:r>
          </w:p>
        </w:tc>
        <w:tc>
          <w:tcPr>
            <w:tcW w:type="dxa" w:w="3135"/>
          </w:tcPr>
          <w:p>
            <w:r>
              <w:t>26</w:t>
            </w:r>
          </w:p>
        </w:tc>
        <w:tc>
          <w:tcPr>
            <w:tcW w:type="dxa" w:w="3135"/>
          </w:tcPr>
          <w:p>
            <w:r>
              <w:t>26</w:t>
            </w:r>
          </w:p>
        </w:tc>
      </w:tr>
      <w:tr>
        <w:tc>
          <w:tcPr>
            <w:tcW w:type="dxa" w:w="3135"/>
          </w:tcPr>
          <w:p>
            <w:r>
              <w:t>Inventory Days</w:t>
            </w:r>
          </w:p>
        </w:tc>
        <w:tc>
          <w:tcPr>
            <w:tcW w:type="dxa" w:w="3135"/>
          </w:tcPr>
          <w:p>
            <w:r>
              <w:t>80</w:t>
            </w:r>
          </w:p>
        </w:tc>
        <w:tc>
          <w:tcPr>
            <w:tcW w:type="dxa" w:w="3135"/>
          </w:tcPr>
          <w:p>
            <w:r>
              <w:t>74</w:t>
            </w:r>
          </w:p>
        </w:tc>
      </w:tr>
    </w:tbl>
    <w:p/>
    <w:p>
      <w:r>
        <w:t>【資產負債表解讀】</w:t>
        <w:br/>
        <w:br/>
        <w:t>▶ 現金部位 NT$3,383.60B（創新高）：</w:t>
        <w:br/>
        <w:t>• 季增 NT$315B</w:t>
        <w:br/>
        <w:t>• 代表營運現金強勁產生</w:t>
        <w:br/>
        <w:br/>
        <w:t>▶ 應收帳款天數 26 天：</w:t>
        <w:br/>
        <w:t>• 與上季持平</w:t>
        <w:br/>
        <w:t>• 顯示客戶付款正常，無異常</w:t>
        <w:br/>
        <w:br/>
        <w:t>▶ 固定資產 NT$3,954.68B：</w:t>
        <w:br/>
        <w:t>• 季增 NT$263B</w:t>
        <w:br/>
        <w:t>• 持續擴廠中（美國/日本/德國）</w:t>
        <w:br/>
        <w:br/>
        <w:t>▶ 負債比率 31.5%：</w:t>
        <w:br/>
        <w:t>• 保持在安全水位（&lt;50%）</w:t>
        <w:br/>
        <w:t>• 長期借款僅 NT$901B，利息負擔可控</w:t>
        <w:br/>
        <w:br/>
        <w:t>▶ 股東權益 NT$5,932.39B：</w:t>
        <w:br/>
        <w:t>• 季增 NT$472B</w:t>
        <w:br/>
        <w:t>• ROE 40.5% 顯示高效運用股东資金</w:t>
        <w:br/>
        <w:br/>
        <w:t>【財務體質評估】</w:t>
        <w:br/>
        <w:t>✅ 資產品質極佳，現金充裕</w:t>
        <w:br/>
        <w:t>✅ 負債結構健康，利息覆蓋率無虞</w:t>
        <w:br/>
        <w:t>✅ 無任何財務警訊</w:t>
      </w:r>
    </w:p>
    <w:p/>
    <w:p>
      <w:pPr>
        <w:pStyle w:val="Heading1"/>
      </w:pPr>
      <w:r>
        <w:rPr>
          <w:color w:val="1F497D"/>
        </w:rPr>
        <w:t>五、現金流量分析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項目 (NT$ B)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Q1 2026</w:t>
            </w:r>
          </w:p>
        </w:tc>
        <w:tc>
          <w:tcPr>
            <w:tcW w:type="dxa" w:w="2351"/>
          </w:tcPr>
          <w:p>
            <w:r>
              <w:rPr>
                <w:b/>
              </w:rPr>
              <w:t>Q4 2025</w:t>
            </w:r>
          </w:p>
        </w:tc>
        <w:tc>
          <w:tcPr>
            <w:tcW w:type="dxa" w:w="2351"/>
          </w:tcPr>
          <w:p>
            <w:r>
              <w:rPr>
                <w:b/>
              </w:rPr>
              <w:t>Q1 2025</w:t>
            </w:r>
          </w:p>
        </w:tc>
      </w:tr>
      <w:tr>
        <w:tc>
          <w:tcPr>
            <w:tcW w:type="dxa" w:w="2351"/>
          </w:tcPr>
          <w:p>
            <w:r>
              <w:t>Beginning Cash</w:t>
            </w:r>
          </w:p>
        </w:tc>
        <w:tc>
          <w:tcPr>
            <w:tcW w:type="dxa" w:w="2351"/>
          </w:tcPr>
          <w:p>
            <w:r>
              <w:t>2,767.86</w:t>
            </w:r>
          </w:p>
        </w:tc>
        <w:tc>
          <w:tcPr>
            <w:tcW w:type="dxa" w:w="2351"/>
          </w:tcPr>
          <w:p>
            <w:r>
              <w:t>2,470.76</w:t>
            </w:r>
          </w:p>
        </w:tc>
        <w:tc>
          <w:tcPr>
            <w:tcW w:type="dxa" w:w="2351"/>
          </w:tcPr>
          <w:p>
            <w:r>
              <w:t>2,127.63</w:t>
            </w:r>
          </w:p>
        </w:tc>
      </w:tr>
      <w:tr>
        <w:tc>
          <w:tcPr>
            <w:tcW w:type="dxa" w:w="2351"/>
          </w:tcPr>
          <w:p>
            <w:r>
              <w:t>Operating CF</w:t>
            </w:r>
          </w:p>
        </w:tc>
        <w:tc>
          <w:tcPr>
            <w:tcW w:type="dxa" w:w="2351"/>
          </w:tcPr>
          <w:p>
            <w:r>
              <w:t>698.97</w:t>
            </w:r>
          </w:p>
        </w:tc>
        <w:tc>
          <w:tcPr>
            <w:tcW w:type="dxa" w:w="2351"/>
          </w:tcPr>
          <w:p>
            <w:r>
              <w:t>725.51</w:t>
            </w:r>
          </w:p>
        </w:tc>
        <w:tc>
          <w:tcPr>
            <w:tcW w:type="dxa" w:w="2351"/>
          </w:tcPr>
          <w:p>
            <w:r>
              <w:t>625.57</w:t>
            </w:r>
          </w:p>
        </w:tc>
      </w:tr>
      <w:tr>
        <w:tc>
          <w:tcPr>
            <w:tcW w:type="dxa" w:w="2351"/>
          </w:tcPr>
          <w:p>
            <w:r>
              <w:t>Capital Expenditures</w:t>
            </w:r>
          </w:p>
        </w:tc>
        <w:tc>
          <w:tcPr>
            <w:tcW w:type="dxa" w:w="2351"/>
          </w:tcPr>
          <w:p>
            <w:r>
              <w:t>(350.76)</w:t>
            </w:r>
          </w:p>
        </w:tc>
        <w:tc>
          <w:tcPr>
            <w:tcW w:type="dxa" w:w="2351"/>
          </w:tcPr>
          <w:p>
            <w:r>
              <w:t>(356.91)</w:t>
            </w:r>
          </w:p>
        </w:tc>
        <w:tc>
          <w:tcPr>
            <w:tcW w:type="dxa" w:w="2351"/>
          </w:tcPr>
          <w:p>
            <w:r>
              <w:t>(330.83)</w:t>
            </w:r>
          </w:p>
        </w:tc>
      </w:tr>
      <w:tr>
        <w:tc>
          <w:tcPr>
            <w:tcW w:type="dxa" w:w="2351"/>
          </w:tcPr>
          <w:p>
            <w:r>
              <w:t>Free Cash Flow</w:t>
            </w:r>
          </w:p>
        </w:tc>
        <w:tc>
          <w:tcPr>
            <w:tcW w:type="dxa" w:w="2351"/>
          </w:tcPr>
          <w:p>
            <w:r>
              <w:rPr>
                <w:b w:val="0"/>
                <w:color w:val="008000"/>
              </w:rPr>
              <w:t>348.21</w:t>
            </w:r>
          </w:p>
        </w:tc>
        <w:tc>
          <w:tcPr>
            <w:tcW w:type="dxa" w:w="2351"/>
          </w:tcPr>
          <w:p>
            <w:r>
              <w:rPr>
                <w:b w:val="0"/>
                <w:color w:val="008000"/>
              </w:rPr>
              <w:t>348.21</w:t>
            </w:r>
          </w:p>
        </w:tc>
        <w:tc>
          <w:tcPr>
            <w:tcW w:type="dxa" w:w="2351"/>
          </w:tcPr>
          <w:p>
            <w:r>
              <w:rPr>
                <w:b w:val="0"/>
                <w:color w:val="008000"/>
              </w:rPr>
              <w:t>348.21</w:t>
            </w:r>
          </w:p>
        </w:tc>
      </w:tr>
      <w:tr>
        <w:tc>
          <w:tcPr>
            <w:tcW w:type="dxa" w:w="2351"/>
          </w:tcPr>
          <w:p>
            <w:r>
              <w:t>Cash Dividends</w:t>
            </w:r>
          </w:p>
        </w:tc>
        <w:tc>
          <w:tcPr>
            <w:tcW w:type="dxa" w:w="2351"/>
          </w:tcPr>
          <w:p>
            <w:r>
              <w:t>(129.66)</w:t>
            </w:r>
          </w:p>
        </w:tc>
        <w:tc>
          <w:tcPr>
            <w:tcW w:type="dxa" w:w="2351"/>
          </w:tcPr>
          <w:p>
            <w:r>
              <w:t>(129.66)</w:t>
            </w:r>
          </w:p>
        </w:tc>
        <w:tc>
          <w:tcPr>
            <w:tcW w:type="dxa" w:w="2351"/>
          </w:tcPr>
          <w:p>
            <w:r>
              <w:t>(103.72)</w:t>
            </w:r>
          </w:p>
        </w:tc>
      </w:tr>
      <w:tr>
        <w:tc>
          <w:tcPr>
            <w:tcW w:type="dxa" w:w="2351"/>
          </w:tcPr>
          <w:p>
            <w:r>
              <w:t>Ending Cash</w:t>
            </w:r>
          </w:p>
        </w:tc>
        <w:tc>
          <w:tcPr>
            <w:tcW w:type="dxa" w:w="2351"/>
          </w:tcPr>
          <w:p>
            <w:r>
              <w:t>3,017.40</w:t>
            </w:r>
          </w:p>
        </w:tc>
        <w:tc>
          <w:tcPr>
            <w:tcW w:type="dxa" w:w="2351"/>
          </w:tcPr>
          <w:p>
            <w:r>
              <w:t>2,767.86</w:t>
            </w:r>
          </w:p>
        </w:tc>
        <w:tc>
          <w:tcPr>
            <w:tcW w:type="dxa" w:w="2351"/>
          </w:tcPr>
          <w:p>
            <w:r>
              <w:t>2,470.76</w:t>
            </w:r>
          </w:p>
        </w:tc>
      </w:tr>
    </w:tbl>
    <w:p/>
    <w:p>
      <w:r>
        <w:t>【現金流量解讀】</w:t>
        <w:br/>
        <w:br/>
        <w:t>▶ 營業現金流 NT$698.97B：</w:t>
        <w:br/>
        <w:t>• 季營運現金創造能力強勁</w:t>
        <w:br/>
        <w:t>• QoQ -3.7%（Q4為歷史高點，正常回調）</w:t>
        <w:br/>
        <w:br/>
        <w:t>▶ 資本支出 NT$350.76B：</w:t>
        <w:br/>
        <w:t>• 季增 CAPEX 顯示擴廠積極</w:t>
        <w:br/>
        <w:t>• 2026全年預估 US$52-56B（季均約 US$13-14B）</w:t>
        <w:br/>
        <w:br/>
        <w:t>▶ 自由現金流 NT$348.21B：</w:t>
        <w:br/>
        <w:t>• FCF YoY +18.1%，顯示现金生产能力提升</w:t>
        <w:br/>
        <w:t>• 仍然是「現金機器」等級</w:t>
        <w:br/>
        <w:br/>
        <w:t>▶ 現金股利 NT$129.66B：</w:t>
        <w:br/>
        <w:t>• 季發放 NT$5/股</w:t>
        <w:br/>
        <w:t>• 以目前股價計算，殖利率約 1.2%</w:t>
        <w:br/>
        <w:br/>
        <w:t>【現金流量結論】</w:t>
        <w:br/>
        <w:t>✅ 現金製造機：每季產生 NT$350B+ 自由現金流</w:t>
        <w:br/>
        <w:t>✅ CAPEX 回收快速：約1年即可回收一個季度的資本支出</w:t>
        <w:br/>
        <w:t>✅ 股东回報持續增加</w:t>
      </w:r>
    </w:p>
    <w:p/>
    <w:p>
      <w:pPr>
        <w:pStyle w:val="Heading1"/>
      </w:pPr>
      <w:r>
        <w:rPr>
          <w:color w:val="1F497D"/>
        </w:rPr>
        <w:t>六、Q2 2026 指引與全年展望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</w:rPr>
              <w:t>Q2 2026 指引</w:t>
            </w:r>
          </w:p>
        </w:tc>
      </w:tr>
      <w:tr>
        <w:tc>
          <w:tcPr>
            <w:tcW w:type="dxa" w:w="4703"/>
          </w:tcPr>
          <w:p>
            <w:r>
              <w:t>Revenue (營收)</w:t>
            </w:r>
          </w:p>
        </w:tc>
        <w:tc>
          <w:tcPr>
            <w:tcW w:type="dxa" w:w="4703"/>
          </w:tcPr>
          <w:p>
            <w:r>
              <w:t>US$39.0B - US$40.2B</w:t>
            </w:r>
          </w:p>
        </w:tc>
      </w:tr>
      <w:tr>
        <w:tc>
          <w:tcPr>
            <w:tcW w:type="dxa" w:w="4703"/>
          </w:tcPr>
          <w:p>
            <w:r>
              <w:t>Gross Margin (毛利率)</w:t>
            </w:r>
          </w:p>
        </w:tc>
        <w:tc>
          <w:tcPr>
            <w:tcW w:type="dxa" w:w="4703"/>
          </w:tcPr>
          <w:p>
            <w:r>
              <w:t>65.5% - 67.5%</w:t>
            </w:r>
          </w:p>
        </w:tc>
      </w:tr>
      <w:tr>
        <w:tc>
          <w:tcPr>
            <w:tcW w:type="dxa" w:w="4703"/>
          </w:tcPr>
          <w:p>
            <w:r>
              <w:t>Operating Margin (營益率)</w:t>
            </w:r>
          </w:p>
        </w:tc>
        <w:tc>
          <w:tcPr>
            <w:tcW w:type="dxa" w:w="4703"/>
          </w:tcPr>
          <w:p>
            <w:r>
              <w:t>56.5% - 58.5%</w:t>
            </w:r>
          </w:p>
        </w:tc>
      </w:tr>
      <w:tr>
        <w:tc>
          <w:tcPr>
            <w:tcW w:type="dxa" w:w="4703"/>
          </w:tcPr>
          <w:p>
            <w:r>
              <w:t>Exchange Rate Assumption</w:t>
            </w:r>
          </w:p>
        </w:tc>
        <w:tc>
          <w:tcPr>
            <w:tcW w:type="dxa" w:w="4703"/>
          </w:tcPr>
          <w:p>
            <w:r>
              <w:t>1 USD = 31.7 NTD</w:t>
            </w:r>
          </w:p>
        </w:tc>
      </w:tr>
    </w:tbl>
    <w:p/>
    <w:p>
      <w:r>
        <w:t>【Q2 2026 指引分析】</w:t>
        <w:br/>
        <w:br/>
        <w:t>▶ 營收指引：US$39-40.2B</w:t>
        <w:br/>
        <w:t>• 季增約 +8-12%（以 midpoint US$39.6B 計算）</w:t>
        <w:br/>
        <w:t>• 以台幣計算：NT$1,236-1,274B</w:t>
        <w:br/>
        <w:br/>
        <w:t>▶ 毛利率指引：65.5%-67.5%</w:t>
        <w:br/>
        <w:t>• 維持高檔，較 Q1 66.2% 基本持平</w:t>
        <w:br/>
        <w:t>• 顯示產能利用率仍高檔</w:t>
        <w:br/>
        <w:br/>
        <w:t>▶ 營益率指引：56.5%-58.5%</w:t>
        <w:br/>
        <w:t>• Q1 58.1% 符合指引區間上緣</w:t>
        <w:br/>
        <w:br/>
        <w:t>【2026 全年展望】</w:t>
        <w:br/>
        <w:br/>
        <w:t>▶ 營收成長：+30%以上（美元計價）</w:t>
        <w:br/>
        <w:t>• 這意味著 2026 全年營收預估 US$147-150B</w:t>
        <w:br/>
        <w:br/>
        <w:t>▶ 資本支出：US$52-56B</w:t>
        <w:br/>
        <w:t>• 持續擴充 3nm/5nm/2nm 產能</w:t>
        <w:br/>
        <w:br/>
        <w:t>▶ 成長動能：</w:t>
        <w:br/>
        <w:t>• AI GPU（H100/H200/B100/GB200）需求無放緩跡象</w:t>
        <w:br/>
        <w:t>• CoWoS 先進封裝產能緊俏</w:t>
        <w:br/>
        <w:t>• 智慧手機復甦（iPhone 17 進入備貨週期）</w:t>
        <w:br/>
        <w:t>• 美日德新廠陸續完工</w:t>
        <w:br/>
        <w:br/>
        <w:t>【風險因素】</w:t>
        <w:br/>
        <w:t>⚠️ 地緣政治（兩岸關係、美中科技戰）</w:t>
        <w:br/>
        <w:t>⚠️ 景氣循環（手機/PC 庫存調整）</w:t>
        <w:br/>
        <w:t>⚠️ 折旧費用大幅增加</w:t>
      </w:r>
    </w:p>
    <w:p/>
    <w:p>
      <w:pPr>
        <w:pStyle w:val="Heading1"/>
      </w:pPr>
      <w:r>
        <w:rPr>
          <w:color w:val="1F497D"/>
        </w:rPr>
        <w:t>七、投資建議總結</w:t>
      </w:r>
    </w:p>
    <w:p>
      <w:r>
        <w:t>【基本面評估】</w:t>
        <w:br/>
        <w:br/>
        <w:t>✅ 看好因素：</w:t>
        <w:br/>
        <w:t>1. 先進製程全球無對手（3nm/5nm/2nm）</w:t>
        <w:br/>
        <w:t>2. AI 晶片需求超級循環確立</w:t>
        <w:br/>
        <w:t>3. 毛利率 66% 顯示超強護城河</w:t>
        <w:br/>
        <w:t>4. 自由現金流充沛，每季 NT$350B+</w:t>
        <w:br/>
        <w:t>5. 負債比率僅 31.5%，財務穩健</w:t>
        <w:br/>
        <w:t>6. ROE 40.5%，高效運用股东資金</w:t>
        <w:br/>
        <w:t>7. Q2 指引維持強勁</w:t>
        <w:br/>
        <w:t>8. 全年展望 +30% 成長</w:t>
        <w:br/>
        <w:br/>
        <w:t>⚠️ 風險因素：</w:t>
        <w:br/>
        <w:t>1. 地緣政治風險（兩岸關係）</w:t>
        <w:br/>
        <w:t>2. 資本支出龐大，折旧稀釋 EPS</w:t>
        <w:br/>
        <w:t>3. 景氣循環影響</w:t>
        <w:br/>
        <w:t>4. 三星/Intel 追趕壓力</w:t>
        <w:br/>
        <w:br/>
        <w:t>【操作建議】</w:t>
        <w:br/>
        <w:br/>
        <w:t>短線（1-3個月）：</w:t>
        <w:br/>
        <w:t>• 支撐：$170-180（52週低點）</w:t>
        <w:br/>
        <w:t>• 壓力：$200-210（心理關卡）</w:t>
        <w:br/>
        <w:t>• 適合區間操作</w:t>
        <w:br/>
        <w:br/>
        <w:t>長線（1年以上）：</w:t>
        <w:br/>
        <w:t>• 基本面無慮，適合定期定額</w:t>
        <w:br/>
        <w:t>• 目標價：$250（2026年底）</w:t>
        <w:br/>
        <w:t>• 投資評級：強力買進（Strong Buy）</w:t>
        <w:br/>
        <w:br/>
        <w:t>【估值參考】</w:t>
        <w:br/>
        <w:t>• 目前 P/E 約 25x（歷史平均偏高）</w:t>
        <w:br/>
        <w:t>• 合理本益比：20-30x（成長股給予溢價）</w:t>
        <w:br/>
        <w:t>• 以 2026 年 EPS NT$90-100 估算，年底目標價 US$220-250</w:t>
      </w:r>
    </w:p>
    <w:p/>
    <w:p>
      <w:r>
        <w:t>————————————————————————————————————————</w:t>
      </w:r>
    </w:p>
    <w:p>
      <w:r>
        <w:t>川寶投顧小安助理 | 2026年05月02日</w:t>
      </w:r>
    </w:p>
    <w:p>
      <w:r>
        <w:t>本報告僅供參考，不構成投資建議。</w:t>
      </w:r>
    </w:p>
    <w:p/>
    <w:p>
      <w:r>
        <w:t>📌 資料來源：TSMC Official Press Release (2026-04-16)</w:t>
      </w:r>
    </w:p>
    <w:p>
      <w:r>
        <w:t>📌 官方網站：https://pr.tsmc.com/english/news/3297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