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6"/>
        </w:rPr>
        <w:t>📈 每日精選三檔股票</w:t>
      </w:r>
    </w:p>
    <w:p>
      <w:pPr>
        <w:jc w:val="center"/>
      </w:pPr>
      <w:r>
        <w:rPr>
          <w:i/>
          <w:color w:val="666666"/>
          <w:sz w:val="28"/>
        </w:rPr>
        <w:t>川寶投顧每天研究三檔股票</w:t>
      </w:r>
    </w:p>
    <w:p>
      <w:pPr>
        <w:jc w:val="center"/>
      </w:pPr>
      <w:r>
        <w:rPr>
          <w:sz w:val="32"/>
        </w:rPr>
        <w:t>2026年04月24日</w:t>
      </w:r>
    </w:p>
    <w:p/>
    <w:p>
      <w:pPr>
        <w:pStyle w:val="Heading1"/>
      </w:pPr>
      <w:r>
        <w:rPr>
          <w:color w:val="1F497D"/>
        </w:rPr>
        <w:t>📋 研究摘要</w:t>
      </w:r>
    </w:p>
    <w:p>
      <w:r>
        <w:t>川寶投顧研究3檔台股：</w:t>
        <w:br/>
        <w:br/>
        <w:t>1. 【聯詠（3034）】價值型首選</w:t>
        <w:br/>
        <w:t xml:space="preserve">   - P/E 16.1為IC設計最低，殖利率6.74%</w:t>
        <w:br/>
        <w:t xml:space="preserve">   - 目標價：$483 ~ $590（潛在上漲12-36%）</w:t>
        <w:br/>
        <w:t xml:space="preserve">   - 適合：追求配息與價值投資</w:t>
        <w:br/>
        <w:br/>
        <w:t>2. 【鴻海（2317）】AI概念穩健股</w:t>
        <w:br/>
        <w:t xml:space="preserve">   - GB200供應鏈核心，股息4.2%</w:t>
        <w:br/>
        <w:t xml:space="preserve">   - 目標價：$188 ~ $241（潛在上漲9%）</w:t>
        <w:br/>
        <w:t xml:space="preserve">   - 適合：穩健型投資人</w:t>
        <w:br/>
        <w:br/>
        <w:t>3. 【瑞昱（2379）】成長型藍籌</w:t>
        <w:br/>
        <w:t xml:space="preserve">   - ROE 28.1%、毛利率47.2%，財務頂尖</w:t>
        <w:br/>
        <w:t xml:space="preserve">   - 目標價：$617 ~ $701（潛在上漲9-24%）</w:t>
        <w:br/>
        <w:t xml:space="preserve">   - 適合：追求成長的長線投資人</w:t>
        <w:br/>
      </w:r>
    </w:p>
    <w:p>
      <w:r>
        <w:br w:type="page"/>
      </w:r>
    </w:p>
    <w:p>
      <w:pPr>
        <w:pStyle w:val="Heading1"/>
      </w:pPr>
      <w:r>
        <w:rPr>
          <w:color w:val="1F497D"/>
        </w:rPr>
        <w:t>【聯詠（3034.TW）】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703"/>
          </w:tcPr>
          <w:p>
            <w:r>
              <w:t>$260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703"/>
          </w:tcPr>
          <w:p>
            <w:r>
              <w:t>16.1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703"/>
          </w:tcPr>
          <w:p>
            <w:r>
              <w:t>$26.84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ROE</w:t>
            </w:r>
          </w:p>
        </w:tc>
        <w:tc>
          <w:tcPr>
            <w:tcW w:type="dxa" w:w="4703"/>
          </w:tcPr>
          <w:p>
            <w:r>
              <w:t>24.1%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703"/>
          </w:tcPr>
          <w:p>
            <w:r>
              <w:t>24.4%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703"/>
          </w:tcPr>
          <w:p>
            <w:r>
              <w:t>19.1%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703"/>
          </w:tcPr>
          <w:p>
            <w:r>
              <w:t>6.74%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體質穩健，評價偏低，具價值重估空間。</w:t>
      </w:r>
    </w:p>
    <w:p>
      <w:pPr>
        <w:spacing w:after="120"/>
      </w:pPr>
      <w:r>
        <w:rPr>
          <w:b/>
        </w:rPr>
        <w:t>財務品質：</w:t>
      </w:r>
      <w:r>
        <w:t>毛利率24.4%、營益率19.1%在IC設計中屬中上水準，顯示產品組合具議價能力。ROE 24.1%優於平均，ROA約15%以上，負債比32.5%健康，流動比2.1顯示短期償債無虞。唯一需注意為存貨周轉，因面板景氣循環天然具波動性。</w:t>
      </w:r>
    </w:p>
    <w:p>
      <w:pPr>
        <w:spacing w:after="120"/>
      </w:pPr>
      <w:r>
        <w:rPr>
          <w:b/>
        </w:rPr>
        <w:t>成長動能：</w:t>
      </w:r>
      <w:r>
        <w:t>聯詠為面板驅動IC全球龍頭，受惠AMOLED滲透率持續提升。三星、LG、京東方為主要客戶，營收貢獻穩定。2024年OLED DDI需求年增約20%，聯詠技術領先對手至少1-2年。新品車用顯示IC已進入認證階段，2025年有望放量。</w:t>
      </w:r>
    </w:p>
    <w:p>
      <w:pPr>
        <w:spacing w:after="120"/>
      </w:pPr>
      <w:r>
        <w:rPr>
          <w:b/>
        </w:rPr>
        <w:t>產業前景：</w:t>
      </w:r>
      <w:r>
        <w:t>大尺寸TV面板報價已落底，監視器與筆電需求溫和復甦。Mini LED背光滲透為長期驅動。車用面板成新增長點，估計車用面板市場年複合成長達8%以上，聯詠擁有認證優勢。</w:t>
      </w:r>
    </w:p>
    <w:p>
      <w:pPr>
        <w:spacing w:after="120"/>
      </w:pPr>
      <w:r>
        <w:rPr>
          <w:b/>
        </w:rPr>
        <w:t>風險評估：</w:t>
      </w:r>
      <w:r>
        <w:t>面板景氣循環最直接影響；中國廠商積極布局OLED DDI；終端消費電子需求放緩可能影響備貨意願；新台幣升值侵蝕毛利率。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$483 ~ $590（價值修復空間12-36%）</w:t>
      </w:r>
    </w:p>
    <w:p>
      <w:pPr>
        <w:spacing w:after="120"/>
      </w:pPr>
      <w:r>
        <w:rPr>
          <w:b/>
        </w:rPr>
        <w:t>推薦理由：</w:t>
      </w:r>
      <w:r>
        <w:t>P/E 16.1為IC設計族群最低，殖利率6.74%提供下檔保護，基本面無明顯瑕疵，適合價值型投資人與追求配息的防禦性配置。</w:t>
      </w:r>
    </w:p>
    <w:p>
      <w:pPr>
        <w:spacing w:after="120"/>
      </w:pPr>
      <w:r>
        <w:rPr>
          <w:b/>
        </w:rPr>
        <w:t>持有期間：</w:t>
      </w:r>
      <w:r>
        <w:t>波段至長線（3-6個月以上）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【鴻海（2317.TW）】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703"/>
          </w:tcPr>
          <w:p>
            <w:r>
              <w:t>$221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703"/>
          </w:tcPr>
          <w:p>
            <w:r>
              <w:t>16.5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703"/>
          </w:tcPr>
          <w:p>
            <w:r>
              <w:t>$13.4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ROE</w:t>
            </w:r>
          </w:p>
        </w:tc>
        <w:tc>
          <w:tcPr>
            <w:tcW w:type="dxa" w:w="4703"/>
          </w:tcPr>
          <w:p>
            <w:r>
              <w:t>11.3%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703"/>
          </w:tcPr>
          <w:p>
            <w:r>
              <w:t>6.8%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703"/>
          </w:tcPr>
          <w:p>
            <w:r>
              <w:t>3.2%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703"/>
          </w:tcPr>
          <w:p>
            <w:r>
              <w:t>4.2%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EPS 13.40對應P/E 16.5評價合理，ROE 11.3%普通但穩定。</w:t>
      </w:r>
    </w:p>
    <w:p>
      <w:pPr>
        <w:spacing w:after="120"/>
      </w:pPr>
      <w:r>
        <w:rPr>
          <w:b/>
        </w:rPr>
        <w:t>財務品質：</w:t>
      </w:r>
      <w:r>
        <w:t>毛利率6.8%、營益率3.2%屬電子代工正常水準，規模經濟掩蓋低毛利弱點。負債比45.2%屬健康水位，流動比1.5略低但尚在安全範圍。應收帳款天數約75天，現金轉換循環穩定。</w:t>
      </w:r>
    </w:p>
    <w:p>
      <w:pPr>
        <w:spacing w:after="120"/>
      </w:pPr>
      <w:r>
        <w:rPr>
          <w:b/>
        </w:rPr>
        <w:t>成長動能：</w:t>
      </w:r>
      <w:r>
        <w:t>AI伺服器需求爆發，鴻海為輝達H系列主力代工廠，GB200供應鏈中地位關鍵。蘋果iPhone 17組裝訂單預計2025年下半年放量。電動車代工業務逐步貢獻營收。雲端服務商需求掩蓋消費電子放緩。</w:t>
      </w:r>
    </w:p>
    <w:p>
      <w:pPr>
        <w:spacing w:after="120"/>
      </w:pPr>
      <w:r>
        <w:rPr>
          <w:b/>
        </w:rPr>
        <w:t>產業前景：</w:t>
      </w:r>
      <w:r>
        <w:t>全球AI基礎建設投資爆發，資料中心資本支出2024-2026年複合成長率預估15-20%。鴻海作為全球最大EMS廠，技術、產能、供應鏈管理均無可取代。AI伺服器ASP為傳統伺服器3-5倍，產品組合優化有助毛利率改善。</w:t>
      </w:r>
    </w:p>
    <w:p>
      <w:pPr>
        <w:spacing w:after="120"/>
      </w:pPr>
      <w:r>
        <w:rPr>
          <w:b/>
        </w:rPr>
        <w:t>風險評估：</w:t>
      </w:r>
      <w:r>
        <w:t>毛利率過低易受原物料與人頭成本波動衝擊；中國產能集中，地緣政治風險加劇；客戶集中度過高（蘋果約50%）；電動車投資短期貢獻有限稀釋資源。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$188 ~ $241（向上空間約9%）</w:t>
      </w:r>
    </w:p>
    <w:p>
      <w:pPr>
        <w:spacing w:after="120"/>
      </w:pPr>
      <w:r>
        <w:rPr>
          <w:b/>
        </w:rPr>
        <w:t>推薦理由：</w:t>
      </w:r>
      <w:r>
        <w:t>AI伺服器題材實質發酵，營收規模亞洲頂尖，股息4.2%提供支撐，適合尋求穩健配息且參與AI行情的投資人。</w:t>
      </w:r>
    </w:p>
    <w:p>
      <w:pPr>
        <w:spacing w:after="120"/>
      </w:pPr>
      <w:r>
        <w:rPr>
          <w:b/>
        </w:rPr>
        <w:t>持有期間：</w:t>
      </w:r>
      <w:r>
        <w:t>波段至長線（6-12個月）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【瑞昱（2379.TW）】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703"/>
          </w:tcPr>
          <w:p>
            <w:r>
              <w:t>$568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703"/>
          </w:tcPr>
          <w:p>
            <w:r>
              <w:t>20.2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703"/>
          </w:tcPr>
          <w:p>
            <w:r>
              <w:t>$28.05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ROE</w:t>
            </w:r>
          </w:p>
        </w:tc>
        <w:tc>
          <w:tcPr>
            <w:tcW w:type="dxa" w:w="4703"/>
          </w:tcPr>
          <w:p>
            <w:r>
              <w:t>28.1%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703"/>
          </w:tcPr>
          <w:p>
            <w:r>
              <w:t>47.2%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703"/>
          </w:tcPr>
          <w:p>
            <w:r>
              <w:t>18.5%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703"/>
          </w:tcPr>
          <w:p>
            <w:r>
              <w:t>4.63%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ROE 28.1%、毛利率47.2%為IC設計翹楚，財務體質頂級。</w:t>
      </w:r>
    </w:p>
    <w:p>
      <w:pPr>
        <w:spacing w:after="120"/>
      </w:pPr>
      <w:r>
        <w:rPr>
          <w:b/>
        </w:rPr>
        <w:t>財務品質：</w:t>
      </w:r>
      <w:r>
        <w:t>毛利率47.2%傲視同業，營益率18.5%顯示高附加價值產品組合。ROE 28.1%在IC設計中僅次龍頭，ROA估計超過20%，體現高效經營。負債比28.1%為三檔最低，流動比2.8顯示現金部位充裕。瑞昱歷年配息率達70%以上，股利政策穩定。</w:t>
      </w:r>
    </w:p>
    <w:p>
      <w:pPr>
        <w:spacing w:after="120"/>
      </w:pPr>
      <w:r>
        <w:rPr>
          <w:b/>
        </w:rPr>
        <w:t>成長動能：</w:t>
      </w:r>
      <w:r>
        <w:t>Wi-Fi 6/7升級為長期驅動力，全球路由器、筆電、智慧家居持續滲透。瑞昱為Wi-Fi晶片主要供應商，2024年Wi-Fi 6出貨滲透率已過50%，2025年Wi-Fi 6E/7升級潮到來。車用乙太網已通過多家Tier 1認證，2025年量產有望。藍芽音訊晶片切入品牌客戶，供應鏈地位穩固。</w:t>
      </w:r>
    </w:p>
    <w:p>
      <w:pPr>
        <w:spacing w:after="120"/>
      </w:pPr>
      <w:r>
        <w:rPr>
          <w:b/>
        </w:rPr>
        <w:t>產業前景：</w:t>
      </w:r>
      <w:r>
        <w:t>全球網通基礎建設持續擴張，邊緣運算與AIoT應用爆發，所有聯網設備均需要Wi-Fi/藍芽晶片。瑞昱在亞太網通IC市場佔有率領先，技術與性價比兼具。邊緣AI導入終端裝置，新規格需求將帶動產品升級。</w:t>
      </w:r>
    </w:p>
    <w:p>
      <w:pPr>
        <w:spacing w:after="120"/>
      </w:pPr>
      <w:r>
        <w:rPr>
          <w:b/>
        </w:rPr>
        <w:t>風險評估：</w:t>
      </w:r>
      <w:r>
        <w:t>中國競爭對手積極布局低價Wi-Fi市場；美中貿易摩擦可能影響中國客戶；半導體庫存調整影響營收波動；技術迭代要求持續研發投資。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$617 ~ $701（價值修復空間9-24%）</w:t>
      </w:r>
    </w:p>
    <w:p>
      <w:pPr>
        <w:spacing w:after="120"/>
      </w:pPr>
      <w:r>
        <w:rPr>
          <w:b/>
        </w:rPr>
        <w:t>推薦理由：</w:t>
      </w:r>
      <w:r>
        <w:t>財務品質頂尖，成長藍籌明確，殖利率4.63%兼顧收益，適合追求穩健成長與合理價位的投資人。</w:t>
      </w:r>
    </w:p>
    <w:p>
      <w:pPr>
        <w:spacing w:after="120"/>
      </w:pPr>
      <w:r>
        <w:rPr>
          <w:b/>
        </w:rPr>
        <w:t>持有期間：</w:t>
      </w:r>
      <w:r>
        <w:t>長線（6個月以上）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📋 重要聲明</w:t>
      </w:r>
    </w:p>
    <w:p>
      <w:r>
        <w:rPr>
          <w:i/>
          <w:color w:val="666666"/>
          <w:sz w:val="22"/>
        </w:rPr>
        <w:t>本報告僅供參考，不構成投資建議。投資有風險，請自行評估。｜川寶投顧｜台股研究團隊</w:t>
      </w:r>
    </w:p>
    <w:p/>
    <w:p>
      <w:r>
        <w:rPr>
          <w:i/>
          <w:color w:val="888888"/>
          <w:sz w:val="20"/>
        </w:rPr>
        <w:t>使用模型：MiniMax M2.7 · Groq GPT-OSS-120B · Gemini 3 Pro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