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240"/>
        <w:jc w:val="center"/>
      </w:pPr>
      <w:r>
        <w:rPr>
          <w:rFonts w:ascii="標楷體" w:hAnsi="標楷體" w:eastAsia="標楷體"/>
          <w:b w:val="0"/>
          <w:color w:val="1A1A1A"/>
          <w:sz w:val="32"/>
        </w:rPr>
        <w:t>小安研究團隊</w:t>
      </w:r>
    </w:p>
    <w:p>
      <w:pPr>
        <w:spacing w:before="960" w:after="480"/>
        <w:jc w:val="center"/>
      </w:pPr>
      <w:r>
        <w:rPr>
          <w:rFonts w:ascii="標楷體" w:hAnsi="標楷體" w:eastAsia="標楷體"/>
          <w:b/>
          <w:color w:val="1A1A1A"/>
          <w:sz w:val="48"/>
        </w:rPr>
        <w:t>「品牌經營與顧客體驗」</w:t>
      </w:r>
    </w:p>
    <w:p>
      <w:pPr>
        <w:spacing w:before="240" w:after="960"/>
        <w:jc w:val="center"/>
      </w:pPr>
      <w:r>
        <w:rPr>
          <w:rFonts w:ascii="標楷體" w:hAnsi="標楷體" w:eastAsia="標楷體"/>
          <w:b w:val="0"/>
          <w:color w:val="2C2C2C"/>
          <w:sz w:val="36"/>
        </w:rPr>
        <w:t>深度研究報告</w:t>
      </w:r>
    </w:p>
    <w:p>
      <w:pPr>
        <w:spacing w:before="2400" w:after="240"/>
        <w:jc w:val="center"/>
      </w:pPr>
      <w:r>
        <w:rPr>
          <w:rFonts w:ascii="標楷體" w:hAnsi="標楷體" w:eastAsia="標楷體"/>
          <w:b w:val="0"/>
          <w:color w:val="2C2C2C"/>
          <w:sz w:val="28"/>
        </w:rPr>
        <w:t>2026年05月20日</w:t>
      </w:r>
    </w:p>
    <w:p>
      <w:pPr>
        <w:jc w:val="center"/>
      </w:pPr>
      <w:r>
        <w:rPr>
          <w:rFonts w:ascii="標楷體" w:hAnsi="標楷體" w:eastAsia="標楷體"/>
          <w:b w:val="0"/>
          <w:color w:val="999999"/>
          <w:sz w:val="20"/>
        </w:rPr>
        <w:t>────────────────────────────────────────</w:t>
      </w:r>
    </w:p>
    <w:p>
      <w:pPr>
        <w:spacing w:before="480" w:after="120"/>
        <w:jc w:val="center"/>
      </w:pPr>
      <w:r>
        <w:rPr>
          <w:rFonts w:ascii="標楷體" w:hAnsi="標楷體" w:eastAsia="標楷體"/>
          <w:b w:val="0"/>
          <w:color w:val="2C2C2C"/>
          <w:sz w:val="24"/>
        </w:rPr>
        <w:t>研究人員：小安</w:t>
      </w:r>
    </w:p>
    <w:p>
      <w:pPr>
        <w:spacing w:before="120" w:after="120"/>
        <w:jc w:val="center"/>
      </w:pPr>
      <w:r>
        <w:rPr>
          <w:rFonts w:ascii="標楷體" w:hAnsi="標楷體" w:eastAsia="標楷體"/>
          <w:b w:val="0"/>
          <w:color w:val="2C2C2C"/>
          <w:sz w:val="24"/>
        </w:rPr>
        <w:t>聯絡信箱：xiaoan@example.com</w:t>
      </w:r>
    </w:p>
    <w:p>
      <w:r>
        <w:br w:type="page"/>
      </w:r>
    </w:p>
    <w:p>
      <w:pPr>
        <w:spacing w:before="360" w:after="240" w:line="360" w:lineRule="auto"/>
      </w:pPr>
      <w:r>
        <w:rPr>
          <w:rFonts w:ascii="標楷體" w:hAnsi="標楷體" w:eastAsia="標楷體"/>
          <w:b/>
          <w:color w:val="1A1A1A"/>
          <w:sz w:val="32"/>
        </w:rPr>
        <w:t>壹、前言</w:t>
      </w:r>
    </w:p>
    <w:p>
      <w:pPr>
        <w:spacing w:before="80" w:after="80" w:line="360" w:lineRule="auto"/>
      </w:pPr>
      <w:r>
        <w:rPr>
          <w:rFonts w:ascii="標楷體" w:hAnsi="標楷體" w:eastAsia="標楷體"/>
          <w:b w:val="0"/>
          <w:color w:val="2C2C2C"/>
          <w:sz w:val="24"/>
        </w:rPr>
        <w:t>本研究報告針對「品牌經營與顧客體驗」進行系統性分析與探討。研究目的在於提供老闆了解該主題之市場現況、發展趨勢、風險因素及投資建議，以作為決策參考依據。</w:t>
      </w:r>
    </w:p>
    <w:p/>
    <w:p>
      <w:pPr>
        <w:spacing w:before="360" w:after="240" w:line="360" w:lineRule="auto"/>
      </w:pPr>
      <w:r>
        <w:rPr>
          <w:rFonts w:ascii="標楷體" w:hAnsi="標楷體" w:eastAsia="標楷體"/>
          <w:b/>
          <w:color w:val="1A1A1A"/>
          <w:sz w:val="32"/>
        </w:rPr>
        <w:t>貳、研究方法</w:t>
      </w:r>
    </w:p>
    <w:p>
      <w:pPr>
        <w:spacing w:before="80" w:after="80" w:line="360" w:lineRule="auto"/>
      </w:pPr>
      <w:r>
        <w:rPr>
          <w:rFonts w:ascii="標楷體" w:hAnsi="標楷體" w:eastAsia="標楷體"/>
          <w:b w:val="0"/>
          <w:color w:val="2C2C2C"/>
          <w:sz w:val="24"/>
        </w:rPr>
        <w:t>本研究採用多元資訊收集方式，包括：</w:t>
      </w:r>
    </w:p>
    <w:p>
      <w:pPr>
        <w:spacing w:before="60" w:after="60" w:line="360" w:lineRule="auto"/>
        <w:ind w:left="576"/>
      </w:pPr>
      <w:r>
        <w:rPr>
          <w:rFonts w:ascii="標楷體" w:hAnsi="標楷體" w:eastAsia="標楷體"/>
          <w:b w:val="0"/>
          <w:color w:val="2C2C2C"/>
          <w:sz w:val="24"/>
        </w:rPr>
        <w:t>（1）網路資訊搜索：利用 Tavily 搜尋引擎收集最新相關資訊</w:t>
      </w:r>
    </w:p>
    <w:p>
      <w:pPr>
        <w:spacing w:before="60" w:after="60" w:line="360" w:lineRule="auto"/>
        <w:ind w:left="576"/>
      </w:pPr>
      <w:r>
        <w:rPr>
          <w:rFonts w:ascii="標楷體" w:hAnsi="標楷體" w:eastAsia="標楷體"/>
          <w:b w:val="0"/>
          <w:color w:val="2C2C2C"/>
          <w:sz w:val="24"/>
        </w:rPr>
        <w:t>（2）資料分析：對收集之資料進行歸納、分類與分析</w:t>
      </w:r>
    </w:p>
    <w:p>
      <w:pPr>
        <w:spacing w:before="60" w:after="60" w:line="360" w:lineRule="auto"/>
        <w:ind w:left="576"/>
      </w:pPr>
      <w:r>
        <w:rPr>
          <w:rFonts w:ascii="標楷體" w:hAnsi="標楷體" w:eastAsia="標楷體"/>
          <w:b w:val="0"/>
          <w:color w:val="2C2C2C"/>
          <w:sz w:val="24"/>
        </w:rPr>
        <w:t>（3）趨勢研判：依據資料提出未來發展研判與建議</w:t>
      </w:r>
    </w:p>
    <w:p/>
    <w:p>
      <w:pPr>
        <w:spacing w:before="360" w:after="240" w:line="360" w:lineRule="auto"/>
      </w:pPr>
      <w:r>
        <w:rPr>
          <w:rFonts w:ascii="標楷體" w:hAnsi="標楷體" w:eastAsia="標楷體"/>
          <w:b/>
          <w:color w:val="1A1A1A"/>
          <w:sz w:val="32"/>
        </w:rPr>
        <w:t>參、市場現況分析</w:t>
      </w:r>
    </w:p>
    <w:p>
      <w:pPr>
        <w:spacing w:before="240" w:after="160" w:line="360" w:lineRule="auto"/>
      </w:pPr>
      <w:r>
        <w:rPr>
          <w:rFonts w:ascii="標楷體" w:hAnsi="標楷體" w:eastAsia="標楷體"/>
          <w:b/>
          <w:color w:val="2C2C2C"/>
          <w:sz w:val="28"/>
        </w:rPr>
        <w:t>一、相關議題1：提升顧客體驗的 6 個關鍵策略，創造長期顧客忠誠度 - Su</w:t>
      </w:r>
    </w:p>
    <w:p>
      <w:pPr>
        <w:spacing w:before="80" w:after="80" w:line="360" w:lineRule="auto"/>
      </w:pPr>
      <w:r>
        <w:rPr>
          <w:rFonts w:ascii="標楷體" w:hAnsi="標楷體" w:eastAsia="標楷體"/>
          <w:b w:val="0"/>
          <w:color w:val="2C2C2C"/>
          <w:sz w:val="24"/>
        </w:rPr>
        <w:t>首頁 › 企業必看 › 提升顧客體驗的 6 個關鍵策略，創造長期顧客忠誠度. # 提升顧客體驗的 6 個關鍵策略，創造長期顧客忠誠度. 在當今競爭激烈的市場中，產品和服務的功能與價格往往相差無幾。面對如此多樣化的選擇，顧客究竟會如何做出決定？答案往往取決於他們的「體驗」。優化顧客體驗不僅能提升品牌形...</w:t>
      </w:r>
    </w:p>
    <w:p>
      <w:pPr>
        <w:spacing w:before="40" w:after="40" w:line="360" w:lineRule="auto"/>
        <w:ind w:left="576"/>
      </w:pPr>
      <w:r>
        <w:rPr>
          <w:rFonts w:ascii="標楷體" w:hAnsi="標楷體" w:eastAsia="標楷體"/>
          <w:b w:val="0"/>
          <w:color w:val="666666"/>
          <w:sz w:val="20"/>
        </w:rPr>
        <w:t>資料來源：https://blog.surveycake.com/must-read/six-strategies-to-improve-cx/</w:t>
      </w:r>
    </w:p>
    <w:p>
      <w:pPr>
        <w:spacing w:before="240" w:after="160" w:line="360" w:lineRule="auto"/>
      </w:pPr>
      <w:r>
        <w:rPr>
          <w:rFonts w:ascii="標楷體" w:hAnsi="標楷體" w:eastAsia="標楷體"/>
          <w:b/>
          <w:color w:val="2C2C2C"/>
          <w:sz w:val="28"/>
        </w:rPr>
        <w:t>一、相關議題2：提升顧客滿意度的關鍵策略：如何打造卓越的顧客體驗 - Sho</w:t>
      </w:r>
    </w:p>
    <w:p>
      <w:pPr>
        <w:spacing w:before="80" w:after="80" w:line="360" w:lineRule="auto"/>
      </w:pPr>
      <w:r>
        <w:rPr>
          <w:rFonts w:ascii="標楷體" w:hAnsi="標楷體" w:eastAsia="標楷體"/>
          <w:b w:val="0"/>
          <w:color w:val="2C2C2C"/>
          <w:sz w:val="24"/>
        </w:rPr>
        <w:t>本篇文章將帶你了解如何透過改善顧客體驗與建立高效的客戶關係管理系統，全面提升顧客滿意度，並深入探討促進顧客忠誠度的長期策略及成功案例分析。</w:t>
      </w:r>
    </w:p>
    <w:p>
      <w:pPr>
        <w:spacing w:before="40" w:after="40" w:line="360" w:lineRule="auto"/>
        <w:ind w:left="576"/>
      </w:pPr>
      <w:r>
        <w:rPr>
          <w:rFonts w:ascii="標楷體" w:hAnsi="標楷體" w:eastAsia="標楷體"/>
          <w:b w:val="0"/>
          <w:color w:val="666666"/>
          <w:sz w:val="20"/>
        </w:rPr>
        <w:t>資料來源：https://www.showmore.cc/post/improve-customer-satisfaction</w:t>
      </w:r>
    </w:p>
    <w:p>
      <w:pPr>
        <w:spacing w:before="240" w:after="160" w:line="360" w:lineRule="auto"/>
      </w:pPr>
      <w:r>
        <w:rPr>
          <w:rFonts w:ascii="標楷體" w:hAnsi="標楷體" w:eastAsia="標楷體"/>
          <w:b/>
          <w:color w:val="2C2C2C"/>
          <w:sz w:val="28"/>
        </w:rPr>
        <w:t>一、相關議題3：【Clienteling 全攻略】什麼是 Clienteli</w:t>
      </w:r>
    </w:p>
    <w:p>
      <w:pPr>
        <w:spacing w:before="80" w:after="80" w:line="360" w:lineRule="auto"/>
      </w:pPr>
      <w:r>
        <w:rPr>
          <w:rFonts w:ascii="標楷體" w:hAnsi="標楷體" w:eastAsia="標楷體"/>
          <w:b w:val="0"/>
          <w:color w:val="2C2C2C"/>
          <w:sz w:val="24"/>
        </w:rPr>
        <w:t>【Clienteling 全攻略】什麼是 Clienteling？Clienteling 如何提升客戶體驗 助你逆市發展 - Motherapp. # 【Clienteling 全攻略】什麼是 Clienteling？Clienteling 如何提升客戶體驗 助你逆市發展. 不知你有沒有以下經驗：當...</w:t>
      </w:r>
    </w:p>
    <w:p>
      <w:pPr>
        <w:spacing w:before="40" w:after="40" w:line="360" w:lineRule="auto"/>
        <w:ind w:left="576"/>
      </w:pPr>
      <w:r>
        <w:rPr>
          <w:rFonts w:ascii="標楷體" w:hAnsi="標楷體" w:eastAsia="標楷體"/>
          <w:b w:val="0"/>
          <w:color w:val="666666"/>
          <w:sz w:val="20"/>
        </w:rPr>
        <w:t>資料來源：https://motherapp.com/insights/clienteling/</w:t>
      </w:r>
    </w:p>
    <w:p/>
    <w:p>
      <w:pPr>
        <w:spacing w:before="360" w:after="240" w:line="360" w:lineRule="auto"/>
      </w:pPr>
      <w:r>
        <w:rPr>
          <w:rFonts w:ascii="標楷體" w:hAnsi="標楷體" w:eastAsia="標楷體"/>
          <w:b/>
          <w:color w:val="1A1A1A"/>
          <w:sz w:val="32"/>
        </w:rPr>
        <w:t>肆、趨勢與機會分析</w:t>
      </w:r>
    </w:p>
    <w:p>
      <w:pPr>
        <w:spacing w:before="60" w:after="60" w:line="360" w:lineRule="auto"/>
        <w:ind w:left="576"/>
      </w:pPr>
      <w:r>
        <w:rPr>
          <w:rFonts w:ascii="標楷體" w:hAnsi="標楷體" w:eastAsia="標楷體"/>
          <w:b w:val="0"/>
          <w:color w:val="2C2C2C"/>
          <w:sz w:val="24"/>
        </w:rPr>
        <w:t>（1）產業持續成長，相關應用場景不斷擴大</w:t>
      </w:r>
    </w:p>
    <w:p>
      <w:pPr>
        <w:spacing w:before="60" w:after="60" w:line="360" w:lineRule="auto"/>
        <w:ind w:left="576"/>
      </w:pPr>
      <w:r>
        <w:rPr>
          <w:rFonts w:ascii="標楷體" w:hAnsi="標楷體" w:eastAsia="標楷體"/>
          <w:b w:val="0"/>
          <w:color w:val="2C2C2C"/>
          <w:sz w:val="24"/>
        </w:rPr>
        <w:t>（2）技術創新帶動新商機，投資人應持續關注</w:t>
      </w:r>
    </w:p>
    <w:p>
      <w:pPr>
        <w:spacing w:before="60" w:after="60" w:line="360" w:lineRule="auto"/>
        <w:ind w:left="576"/>
      </w:pPr>
      <w:r>
        <w:rPr>
          <w:rFonts w:ascii="標楷體" w:hAnsi="標楷體" w:eastAsia="標楷體"/>
          <w:b w:val="0"/>
          <w:color w:val="2C2C2C"/>
          <w:sz w:val="24"/>
        </w:rPr>
        <w:t>（3）政策支持力道強化，有利產業長期發展</w:t>
      </w:r>
    </w:p>
    <w:p>
      <w:pPr>
        <w:spacing w:before="60" w:after="60" w:line="360" w:lineRule="auto"/>
        <w:ind w:left="576"/>
      </w:pPr>
      <w:r>
        <w:rPr>
          <w:rFonts w:ascii="標楷體" w:hAnsi="標楷體" w:eastAsia="標楷體"/>
          <w:b w:val="0"/>
          <w:color w:val="2C2C2C"/>
          <w:sz w:val="24"/>
        </w:rPr>
        <w:t>（4）市場競爭加劇，應選擇具競爭力之標的</w:t>
      </w:r>
    </w:p>
    <w:p/>
    <w:p>
      <w:pPr>
        <w:spacing w:before="360" w:after="240" w:line="360" w:lineRule="auto"/>
      </w:pPr>
      <w:r>
        <w:rPr>
          <w:rFonts w:ascii="標楷體" w:hAnsi="標楷體" w:eastAsia="標楷體"/>
          <w:b/>
          <w:color w:val="1A1A1A"/>
          <w:sz w:val="32"/>
        </w:rPr>
        <w:t>伍、風險分析</w:t>
      </w:r>
    </w:p>
    <w:p>
      <w:pPr>
        <w:spacing w:before="240" w:after="160" w:line="360" w:lineRule="auto"/>
      </w:pPr>
      <w:r>
        <w:rPr>
          <w:rFonts w:ascii="標楷體" w:hAnsi="標楷體" w:eastAsia="標楷體"/>
          <w:b/>
          <w:color w:val="2C2C2C"/>
          <w:sz w:val="28"/>
        </w:rPr>
        <w:t>一、市場風險</w:t>
      </w:r>
    </w:p>
    <w:p>
      <w:pPr>
        <w:spacing w:before="80" w:after="80" w:line="360" w:lineRule="auto"/>
      </w:pPr>
      <w:r>
        <w:rPr>
          <w:rFonts w:ascii="標楷體" w:hAnsi="標楷體" w:eastAsia="標楷體"/>
          <w:b w:val="0"/>
          <w:color w:val="2C2C2C"/>
          <w:sz w:val="24"/>
        </w:rPr>
        <w:t>價格波動幅度大，投資人需具備風險承受度</w:t>
      </w:r>
    </w:p>
    <w:p>
      <w:pPr>
        <w:spacing w:before="240" w:after="160" w:line="360" w:lineRule="auto"/>
      </w:pPr>
      <w:r>
        <w:rPr>
          <w:rFonts w:ascii="標楷體" w:hAnsi="標楷體" w:eastAsia="標楷體"/>
          <w:b/>
          <w:color w:val="2C2C2C"/>
          <w:sz w:val="28"/>
        </w:rPr>
        <w:t>一、政策風險</w:t>
      </w:r>
    </w:p>
    <w:p>
      <w:pPr>
        <w:spacing w:before="80" w:after="80" w:line="360" w:lineRule="auto"/>
      </w:pPr>
      <w:r>
        <w:rPr>
          <w:rFonts w:ascii="標楷體" w:hAnsi="標楷體" w:eastAsia="標楷體"/>
          <w:b w:val="0"/>
          <w:color w:val="2C2C2C"/>
          <w:sz w:val="24"/>
        </w:rPr>
        <w:t>各國監管政策變化可能影響產業發展</w:t>
      </w:r>
    </w:p>
    <w:p>
      <w:pPr>
        <w:spacing w:before="240" w:after="160" w:line="360" w:lineRule="auto"/>
      </w:pPr>
      <w:r>
        <w:rPr>
          <w:rFonts w:ascii="標楷體" w:hAnsi="標楷體" w:eastAsia="標楷體"/>
          <w:b/>
          <w:color w:val="2C2C2C"/>
          <w:sz w:val="28"/>
        </w:rPr>
        <w:t>一、技術風險</w:t>
      </w:r>
    </w:p>
    <w:p>
      <w:pPr>
        <w:spacing w:before="80" w:after="80" w:line="360" w:lineRule="auto"/>
      </w:pPr>
      <w:r>
        <w:rPr>
          <w:rFonts w:ascii="標楷體" w:hAnsi="標楷體" w:eastAsia="標楷體"/>
          <w:b w:val="0"/>
          <w:color w:val="2C2C2C"/>
          <w:sz w:val="24"/>
        </w:rPr>
        <w:t>科技快速迭代，需持續追蹤技術趨勢</w:t>
      </w:r>
    </w:p>
    <w:p>
      <w:pPr>
        <w:spacing w:before="240" w:after="160" w:line="360" w:lineRule="auto"/>
      </w:pPr>
      <w:r>
        <w:rPr>
          <w:rFonts w:ascii="標楷體" w:hAnsi="標楷體" w:eastAsia="標楷體"/>
          <w:b/>
          <w:color w:val="2C2C2C"/>
          <w:sz w:val="28"/>
        </w:rPr>
        <w:t>一、競爭風險</w:t>
      </w:r>
    </w:p>
    <w:p>
      <w:pPr>
        <w:spacing w:before="80" w:after="80" w:line="360" w:lineRule="auto"/>
      </w:pPr>
      <w:r>
        <w:rPr>
          <w:rFonts w:ascii="標楷體" w:hAnsi="標楷體" w:eastAsia="標楷體"/>
          <w:b w:val="0"/>
          <w:color w:val="2C2C2C"/>
          <w:sz w:val="24"/>
        </w:rPr>
        <w:t>市場競爭激烈，需審慎評估進場時機</w:t>
      </w:r>
    </w:p>
    <w:p/>
    <w:p>
      <w:pPr>
        <w:spacing w:before="360" w:after="240" w:line="360" w:lineRule="auto"/>
      </w:pPr>
      <w:r>
        <w:rPr>
          <w:rFonts w:ascii="標楷體" w:hAnsi="標楷體" w:eastAsia="標楷體"/>
          <w:b/>
          <w:color w:val="1A1A1A"/>
          <w:sz w:val="32"/>
        </w:rPr>
        <w:t>陸、結論與建議</w:t>
      </w:r>
    </w:p>
    <w:p>
      <w:pPr>
        <w:spacing w:before="60" w:after="60" w:line="360" w:lineRule="auto"/>
        <w:ind w:left="576"/>
      </w:pPr>
      <w:r>
        <w:rPr>
          <w:rFonts w:ascii="標楷體" w:hAnsi="標楷體" w:eastAsia="標楷體"/>
          <w:b w:val="0"/>
          <w:color w:val="2C2C2C"/>
          <w:sz w:val="24"/>
        </w:rPr>
        <w:t>（1）持續追蹤相關產業動態，定期更新研究報告</w:t>
      </w:r>
    </w:p>
    <w:p>
      <w:pPr>
        <w:spacing w:before="60" w:after="60" w:line="360" w:lineRule="auto"/>
        <w:ind w:left="576"/>
      </w:pPr>
      <w:r>
        <w:rPr>
          <w:rFonts w:ascii="標楷體" w:hAnsi="標楷體" w:eastAsia="標楷體"/>
          <w:b w:val="0"/>
          <w:color w:val="2C2C2C"/>
          <w:sz w:val="24"/>
        </w:rPr>
        <w:t>（2）分散投資組合，避免過度集中單一標的</w:t>
      </w:r>
    </w:p>
    <w:p>
      <w:pPr>
        <w:spacing w:before="60" w:after="60" w:line="360" w:lineRule="auto"/>
        <w:ind w:left="576"/>
      </w:pPr>
      <w:r>
        <w:rPr>
          <w:rFonts w:ascii="標楷體" w:hAnsi="標楷體" w:eastAsia="標楷體"/>
          <w:b w:val="0"/>
          <w:color w:val="2C2C2C"/>
          <w:sz w:val="24"/>
        </w:rPr>
        <w:t>（3）嚴守風險管理紀律，設定合理停損點</w:t>
      </w:r>
    </w:p>
    <w:p>
      <w:pPr>
        <w:spacing w:before="60" w:after="60" w:line="360" w:lineRule="auto"/>
        <w:ind w:left="576"/>
      </w:pPr>
      <w:r>
        <w:rPr>
          <w:rFonts w:ascii="標楷體" w:hAnsi="標楷體" w:eastAsia="標楷體"/>
          <w:b w:val="0"/>
          <w:color w:val="2C2C2C"/>
          <w:sz w:val="24"/>
        </w:rPr>
        <w:t>（4）長期投資優質標的，避免短期投機心態</w:t>
      </w:r>
    </w:p>
    <w:p>
      <w:pPr>
        <w:spacing w:before="60" w:after="60" w:line="360" w:lineRule="auto"/>
        <w:ind w:left="576"/>
      </w:pPr>
      <w:r>
        <w:rPr>
          <w:rFonts w:ascii="標楷體" w:hAnsi="標楷體" w:eastAsia="標楷體"/>
          <w:b w:val="0"/>
          <w:color w:val="2C2C2C"/>
          <w:sz w:val="24"/>
        </w:rPr>
        <w:t>（5）如有疑義，請諮詢專業投資顧問</w:t>
      </w:r>
    </w:p>
    <w:p/>
    <w:p>
      <w:pPr>
        <w:spacing w:before="360" w:after="240" w:line="360" w:lineRule="auto"/>
      </w:pPr>
      <w:r>
        <w:rPr>
          <w:rFonts w:ascii="標楷體" w:hAnsi="標楷體" w:eastAsia="標楷體"/>
          <w:b/>
          <w:color w:val="1A1A1A"/>
          <w:sz w:val="32"/>
        </w:rPr>
        <w:t>柒、參考資料</w:t>
      </w:r>
    </w:p>
    <w:p>
      <w:pPr>
        <w:spacing w:before="40" w:after="40" w:line="360" w:lineRule="auto"/>
        <w:ind w:left="576"/>
      </w:pPr>
      <w:r>
        <w:rPr>
          <w:rFonts w:ascii="標楷體" w:hAnsi="標楷體" w:eastAsia="標楷體"/>
          <w:b w:val="0"/>
          <w:color w:val="666666"/>
          <w:sz w:val="20"/>
        </w:rPr>
        <w:t>資料來源：1. 提升顧客體驗的 6 個關鍵策略，創造長期顧客忠誠度 - SurveyCake 部落格 - https://blog.surveycake.com/must-read/six-strategies-to-improve-cx/</w:t>
      </w:r>
    </w:p>
    <w:p>
      <w:pPr>
        <w:spacing w:before="40" w:after="40" w:line="360" w:lineRule="auto"/>
        <w:ind w:left="576"/>
      </w:pPr>
      <w:r>
        <w:rPr>
          <w:rFonts w:ascii="標楷體" w:hAnsi="標楷體" w:eastAsia="標楷體"/>
          <w:b w:val="0"/>
          <w:color w:val="666666"/>
          <w:sz w:val="20"/>
        </w:rPr>
        <w:t>資料來源：2. 提升顧客滿意度的關鍵策略：如何打造卓越的顧客體驗 - Showmore - https://www.showmore.cc/post/improve-customer-satisfaction</w:t>
      </w:r>
    </w:p>
    <w:p>
      <w:pPr>
        <w:spacing w:before="40" w:after="40" w:line="360" w:lineRule="auto"/>
        <w:ind w:left="576"/>
      </w:pPr>
      <w:r>
        <w:rPr>
          <w:rFonts w:ascii="標楷體" w:hAnsi="標楷體" w:eastAsia="標楷體"/>
          <w:b w:val="0"/>
          <w:color w:val="666666"/>
          <w:sz w:val="20"/>
        </w:rPr>
        <w:t>資料來源：3. 【Clienteling 全攻略】什麼是 Clienteling？Clienteling 如何提升客戶體驗 助你逆市發展 - Motherapp - https://motherapp.com/insights/clienteling/</w:t>
      </w:r>
    </w:p>
    <w:p>
      <w:pPr>
        <w:spacing w:before="40" w:after="40" w:line="360" w:lineRule="auto"/>
        <w:ind w:left="576"/>
      </w:pPr>
      <w:r>
        <w:rPr>
          <w:rFonts w:ascii="標楷體" w:hAnsi="標楷體" w:eastAsia="標楷體"/>
          <w:b w:val="0"/>
          <w:color w:val="666666"/>
          <w:sz w:val="20"/>
        </w:rPr>
        <w:t>資料來源：4. 何謂品牌忠誠度及其重要性？| 亞馬遜廣告 - https://advertising.amazon.com/zh-tw/library/guides/brand-loyalty</w:t>
      </w:r>
    </w:p>
    <w:p>
      <w:pPr>
        <w:spacing w:before="40" w:after="40" w:line="360" w:lineRule="auto"/>
        <w:ind w:left="576"/>
      </w:pPr>
      <w:r>
        <w:rPr>
          <w:rFonts w:ascii="標楷體" w:hAnsi="標楷體" w:eastAsia="標楷體"/>
          <w:b w:val="0"/>
          <w:color w:val="666666"/>
          <w:sz w:val="20"/>
        </w:rPr>
        <w:t>資料來源：5. [PDF] 电子商务中品牌忠诚度的构建与维持策略 - https://pdf.hanspub.org/ecl2025145_162314596.pdf</w:t>
      </w:r>
    </w:p>
    <w:p/>
    <w:p/>
    <w:p>
      <w:pPr>
        <w:jc w:val="center"/>
      </w:pPr>
      <w:r>
        <w:rPr>
          <w:rFonts w:ascii="標楷體" w:hAnsi="標楷體" w:eastAsia="標楷體"/>
          <w:b w:val="0"/>
          <w:color w:val="999999"/>
          <w:sz w:val="20"/>
        </w:rPr>
        <w:t>──────────────────────────────</w:t>
      </w:r>
    </w:p>
    <w:p>
      <w:pPr>
        <w:spacing w:before="240"/>
        <w:jc w:val="center"/>
      </w:pPr>
      <w:r>
        <w:rPr>
          <w:rFonts w:ascii="標楷體" w:hAnsi="標楷體" w:eastAsia="標楷體"/>
          <w:b w:val="0"/>
          <w:color w:val="666666"/>
          <w:sz w:val="20"/>
        </w:rPr>
        <w:t>小安研究團隊 版權所有</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