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8"/>
        </w:rPr>
        <w:t>2026年第二季</w:t>
        <w:br/>
        <w:t>台灣價值股投資機會研究報告</w:t>
      </w:r>
    </w:p>
    <w:p>
      <w:pPr>
        <w:jc w:val="center"/>
      </w:pPr>
      <w:r>
        <w:rPr>
          <w:color w:val="646464"/>
          <w:sz w:val="24"/>
        </w:rPr>
        <w:t>研究日期：2026年5月5日</w:t>
        <w:br/>
        <w:t>研究機構：小歐深度研究顧問</w:t>
      </w:r>
    </w:p>
    <w:p/>
    <w:p>
      <w:pPr>
        <w:jc w:val="center"/>
      </w:pPr>
      <w:r>
        <w:rPr>
          <w:color w:val="969696"/>
          <w:sz w:val="18"/>
        </w:rPr>
        <w:t>⚠️ 本報告僅供參考，不構成投資建議，投資人應自行判斷風險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報告目錄</w:t>
      </w:r>
    </w:p>
    <w:p>
      <w:pPr>
        <w:pStyle w:val="ListBullet"/>
        <w:ind w:left="360"/>
      </w:pPr>
      <w:r>
        <w:t>第一章、市場宏觀分析</w:t>
      </w:r>
    </w:p>
    <w:p>
      <w:pPr>
        <w:pStyle w:val="ListBullet"/>
        <w:ind w:left="360"/>
      </w:pPr>
      <w:r>
        <w:t>第二章、價值股篩選方法</w:t>
      </w:r>
    </w:p>
    <w:p>
      <w:pPr>
        <w:pStyle w:val="ListBullet"/>
        <w:ind w:left="360"/>
      </w:pPr>
      <w:r>
        <w:t>第三章、5檔個股深度分析</w:t>
      </w:r>
    </w:p>
    <w:p>
      <w:pPr>
        <w:pStyle w:val="ListBullet"/>
        <w:ind w:left="360"/>
      </w:pPr>
      <w:r>
        <w:t>第四章、風險提示</w:t>
      </w:r>
    </w:p>
    <w:p>
      <w:pPr>
        <w:pStyle w:val="ListBullet"/>
        <w:ind w:left="360"/>
      </w:pPr>
      <w:r>
        <w:t>第五章、結論與投資建議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第一章、市場宏觀分析</w:t>
      </w:r>
    </w:p>
    <w:p>
      <w:pPr>
        <w:pStyle w:val="Heading2"/>
        <w:jc w:val="left"/>
      </w:pPr>
      <w:r>
        <w:rPr>
          <w:color w:val="1F4E79"/>
        </w:rPr>
        <w:t>1.1 台灣經濟概況（2026年）</w:t>
      </w:r>
    </w:p>
    <w:p>
      <w:r>
        <w:rPr>
          <w:b w:val="0"/>
          <w:sz w:val="22"/>
        </w:rPr>
        <w:t>根據中華經濟研究院及台經院最新預測，台灣2026年經濟成長率預估如下：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預測機構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2026年GDP成長率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預測日期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中華經濟研究院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7.22%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2026年Q1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台經院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7.56%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2026年3月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主計總處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3.54%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2025年11月</w:t>
            </w:r>
          </w:p>
        </w:tc>
      </w:tr>
    </w:tbl>
    <w:p/>
    <w:p>
      <w:r>
        <w:rPr>
          <w:b w:val="0"/>
          <w:sz w:val="22"/>
        </w:rPr>
        <w:t>台灣經濟成長主要驅動因素：</w:t>
      </w:r>
    </w:p>
    <w:p>
      <w:pPr>
        <w:pStyle w:val="ListBullet"/>
        <w:ind w:left="360"/>
      </w:pPr>
      <w:r>
        <w:t>AI與高效能運算需求爆發，半導體出口創歷史新高</w:t>
      </w:r>
    </w:p>
    <w:p>
      <w:pPr>
        <w:pStyle w:val="ListBullet"/>
        <w:ind w:left="360"/>
      </w:pPr>
      <w:r>
        <w:t>2026年Q1出口年增率達51.10%，顯示外需動能極為強勁</w:t>
      </w:r>
    </w:p>
    <w:p>
      <w:pPr>
        <w:pStyle w:val="ListBullet"/>
        <w:ind w:left="360"/>
      </w:pPr>
      <w:r>
        <w:t>AI相關供應鏈持續擴充產能，民間投資動能優於預期</w:t>
      </w:r>
    </w:p>
    <w:p>
      <w:pPr>
        <w:pStyle w:val="ListBullet"/>
        <w:ind w:left="360"/>
      </w:pPr>
      <w:r>
        <w:t>美國聯準會降息循環有助資金回流亞洲</w:t>
      </w:r>
    </w:p>
    <w:p>
      <w:pPr>
        <w:pStyle w:val="Heading2"/>
        <w:jc w:val="left"/>
      </w:pPr>
      <w:r>
        <w:rPr>
          <w:color w:val="1F4E79"/>
        </w:rPr>
        <w:t>1.2 台股整體評價</w:t>
      </w:r>
    </w:p>
    <w:p>
      <w:r>
        <w:rPr>
          <w:b w:val="0"/>
          <w:sz w:val="22"/>
        </w:rPr>
        <w:t>根據J.P. Morgan Asset Management資料（2025年11月）：</w:t>
      </w:r>
    </w:p>
    <w:p>
      <w:pPr>
        <w:pStyle w:val="ListBullet"/>
        <w:ind w:left="360"/>
      </w:pPr>
      <w:r>
        <w:t>台灣加權股價指數近三年累計漲幅超過90%</w:t>
      </w:r>
    </w:p>
    <w:p>
      <w:pPr>
        <w:pStyle w:val="ListBullet"/>
        <w:ind w:left="360"/>
      </w:pPr>
      <w:r>
        <w:t>本益比由12.4倍提升至17.7倍，但仍高於亞太指數15.2倍</w:t>
      </w:r>
    </w:p>
    <w:p>
      <w:pPr>
        <w:pStyle w:val="ListBullet"/>
        <w:ind w:left="360"/>
      </w:pPr>
      <w:r>
        <w:t>2026年台股企業獲利年增率由近16%調高至近20%，亞洲僅次南韓</w:t>
      </w:r>
    </w:p>
    <w:p>
      <w:pPr>
        <w:pStyle w:val="ListBullet"/>
        <w:ind w:left="360"/>
      </w:pPr>
      <w:r>
        <w:t>科技股佔台股市值比重高達70%-75%，集中度極高</w:t>
      </w:r>
    </w:p>
    <w:p>
      <w:pPr>
        <w:pStyle w:val="Heading2"/>
        <w:jc w:val="left"/>
      </w:pPr>
      <w:r>
        <w:rPr>
          <w:color w:val="1F4E79"/>
        </w:rPr>
        <w:t>1.3 資金輪動趨勢</w:t>
      </w:r>
    </w:p>
    <w:p>
      <w:r>
        <w:rPr>
          <w:b w:val="0"/>
          <w:sz w:val="22"/>
        </w:rPr>
        <w:t>2025年12月金融股漲幅達7.57%，優於大盤的4.84%，顯示資金開始輪動至低基期股票。</w:t>
      </w:r>
    </w:p>
    <w:p>
      <w:r>
        <w:rPr>
          <w:b w:val="0"/>
          <w:sz w:val="22"/>
        </w:rPr>
        <w:t>證交所推動「Power Up Plan 2.0」，目標提升低基期股票市場價值，目前約76%上市櫃公司股價位於年線以下，金融股是關鍵族群之一。</w:t>
      </w:r>
    </w:p>
    <w:p>
      <w:pPr>
        <w:pStyle w:val="Heading2"/>
        <w:jc w:val="left"/>
      </w:pPr>
      <w:r>
        <w:rPr>
          <w:color w:val="1F4E79"/>
        </w:rPr>
        <w:t>1.4 AI泡沫疑慮與價值股機會</w:t>
      </w:r>
    </w:p>
    <w:p>
      <w:r>
        <w:rPr>
          <w:b w:val="0"/>
          <w:sz w:val="22"/>
        </w:rPr>
        <w:t>市場高度期待2026年行情之際，部分分析師提出「先修正再出發」的看法，特別是本益比過高的AI股。相對的，2026年業績可望穩定成長、目前本益比仍低者，將是資金輪動的首選。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第二章、價值股篩選方法</w:t>
      </w:r>
    </w:p>
    <w:p>
      <w:pPr>
        <w:pStyle w:val="Heading2"/>
        <w:jc w:val="left"/>
      </w:pPr>
      <w:r>
        <w:rPr>
          <w:color w:val="1F4E79"/>
        </w:rPr>
        <w:t>2.1 三大核心指標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計算公式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價值股標準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本益比（P/E）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股價 ÷ 每股盈餘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低於15倍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本益比越低，代表股價被低估機會越高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殖利率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現金股利 ÷ 股價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高於4%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殖利率越高，存股領息效益越好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股價淨值比（P/B）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股價 ÷ 每股淨值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低於1.5倍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淨值比越低，相對淨資產越便宜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2.2 附加參考指標</w:t>
      </w:r>
    </w:p>
    <w:p>
      <w:pPr>
        <w:pStyle w:val="ListBullet"/>
        <w:ind w:left="360"/>
      </w:pPr>
      <w:r>
        <w:t>EPS年增率：觀察營收成長趨勢</w:t>
      </w:r>
    </w:p>
    <w:p>
      <w:pPr>
        <w:pStyle w:val="ListBullet"/>
        <w:ind w:left="360"/>
      </w:pPr>
      <w:r>
        <w:t>配息穩定度：連續5年以上穩定配息為佳</w:t>
      </w:r>
    </w:p>
    <w:p>
      <w:pPr>
        <w:pStyle w:val="ListBullet"/>
        <w:ind w:left="360"/>
      </w:pPr>
      <w:r>
        <w:t>營運現金流：確認股利來自本業獲利</w:t>
      </w:r>
    </w:p>
    <w:p>
      <w:pPr>
        <w:pStyle w:val="ListBullet"/>
        <w:ind w:left="360"/>
      </w:pPr>
      <w:r>
        <w:t>法人買賣超：觀察機構投資人動向</w:t>
      </w:r>
    </w:p>
    <w:p>
      <w:pPr>
        <w:pStyle w:val="Heading2"/>
        <w:jc w:val="left"/>
      </w:pPr>
      <w:r>
        <w:rPr>
          <w:color w:val="1F4E79"/>
        </w:rPr>
        <w:t>2.3 價值股相對於成長股的优势</w:t>
      </w:r>
    </w:p>
    <w:p>
      <w:r>
        <w:rPr>
          <w:b w:val="0"/>
          <w:sz w:val="22"/>
        </w:rPr>
        <w:t>在AI過度投資疑慮升溫、資金輪動加劇之際，價值股的優勢包括：</w:t>
      </w:r>
    </w:p>
    <w:p>
      <w:pPr>
        <w:pStyle w:val="ListBullet"/>
        <w:ind w:left="360"/>
      </w:pPr>
      <w:r>
        <w:t>本益比相對低，評價面具有緩衝空間</w:t>
      </w:r>
    </w:p>
    <w:p>
      <w:pPr>
        <w:pStyle w:val="ListBullet"/>
        <w:ind w:left="360"/>
      </w:pPr>
      <w:r>
        <w:t>配息穩定，提供現金流收益</w:t>
      </w:r>
    </w:p>
    <w:p>
      <w:pPr>
        <w:pStyle w:val="ListBullet"/>
        <w:ind w:left="360"/>
      </w:pPr>
      <w:r>
        <w:t>體質穩健，抗市場波動能力較強</w:t>
      </w:r>
    </w:p>
    <w:p>
      <w:pPr>
        <w:pStyle w:val="ListBullet"/>
        <w:ind w:left="360"/>
      </w:pPr>
      <w:r>
        <w:t>股價位階低，補漲潛力大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第三章、5檔個股深度分析</w:t>
      </w:r>
    </w:p>
    <w:p>
      <w:pPr>
        <w:pStyle w:val="Heading2"/>
        <w:jc w:val="left"/>
      </w:pPr>
      <w:r>
        <w:rPr>
          <w:color w:val="1F4E79"/>
        </w:rPr>
        <w:t>3.1 中信金（2891）</w:t>
      </w:r>
    </w:p>
    <w:p>
      <w:r>
        <w:rPr>
          <w:b w:val="0"/>
          <w:sz w:val="22"/>
        </w:rPr>
        <w:t>【銀行龍頭 · 本益比低 · 配息穩定】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2025年EPS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4.08元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2026年預估配息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2.5元（現金，歷史新高）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現金殖利率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4.78%（13家金控排名第一）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本益比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約13.6倍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獲利年增率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11.93%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主要業務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銀行（本業扎實）、壽險、投資</w:t>
            </w:r>
          </w:p>
        </w:tc>
      </w:tr>
    </w:tbl>
    <w:p/>
    <w:p>
      <w:r>
        <w:rPr>
          <w:b w:val="0"/>
          <w:sz w:val="22"/>
        </w:rPr>
        <w:t>投資亮點：</w:t>
      </w:r>
    </w:p>
    <w:p>
      <w:pPr>
        <w:pStyle w:val="ListBullet"/>
        <w:ind w:left="360"/>
      </w:pPr>
      <w:r>
        <w:t>2026年股利配發2.5元創歷史新高，配息率提升</w:t>
      </w:r>
    </w:p>
    <w:p>
      <w:pPr>
        <w:pStyle w:val="ListBullet"/>
        <w:ind w:left="360"/>
      </w:pPr>
      <w:r>
        <w:t>銀行本業體質扎實，存放款業務穩健成長</w:t>
      </w:r>
    </w:p>
    <w:p>
      <w:pPr>
        <w:pStyle w:val="ListBullet"/>
        <w:ind w:left="360"/>
      </w:pPr>
      <w:r>
        <w:t>13家金控中殖利率最高（4.78%），配息大方</w:t>
      </w:r>
    </w:p>
    <w:p>
      <w:pPr>
        <w:pStyle w:val="ListBullet"/>
        <w:ind w:left="360"/>
      </w:pPr>
      <w:r>
        <w:t>凱基與中信整併後，營運版圖持續擴大</w:t>
      </w:r>
    </w:p>
    <w:p>
      <w:pPr>
        <w:pStyle w:val="ListBullet"/>
        <w:ind w:left="360"/>
      </w:pPr>
      <w:r>
        <w:t>本益比13.6倍，相對便宜，評價具上調空間</w:t>
      </w:r>
    </w:p>
    <w:p>
      <w:r>
        <w:rPr>
          <w:b w:val="0"/>
          <w:sz w:val="22"/>
        </w:rPr>
        <w:t>適合投資人：追求穩定配息、看好銀行本業的存股族</w:t>
      </w:r>
    </w:p>
    <w:p>
      <w:pPr>
        <w:pStyle w:val="Heading2"/>
        <w:jc w:val="left"/>
      </w:pPr>
      <w:r>
        <w:rPr>
          <w:color w:val="1F4E79"/>
        </w:rPr>
        <w:t>3.2 富邦金（2881）</w:t>
      </w:r>
    </w:p>
    <w:p>
      <w:r>
        <w:rPr>
          <w:b w:val="0"/>
          <w:sz w:val="22"/>
        </w:rPr>
        <w:t>【金控獲利王 · 蟬連17年獲利王 · 配息大方】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2025年EPS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8.36元（蟬連17年獲利王）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2026年配息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4.25元（全現金，平歷史新高）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現金殖利率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4.72%（排名第二）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本益比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約10.8倍（以90元股價計算）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配息總額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逾500億元</w:t>
            </w:r>
          </w:p>
        </w:tc>
      </w:tr>
    </w:tbl>
    <w:p/>
    <w:p>
      <w:r>
        <w:rPr>
          <w:b w:val="0"/>
          <w:sz w:val="22"/>
        </w:rPr>
        <w:t>投資亮點：</w:t>
      </w:r>
    </w:p>
    <w:p>
      <w:pPr>
        <w:pStyle w:val="ListBullet"/>
        <w:ind w:left="360"/>
      </w:pPr>
      <w:r>
        <w:t>蟬連17年獲利王，EPS 8.36元，龍頭地位穩固</w:t>
      </w:r>
    </w:p>
    <w:p>
      <w:pPr>
        <w:pStyle w:val="ListBullet"/>
        <w:ind w:left="360"/>
      </w:pPr>
      <w:r>
        <w:t>2026年採取「全現金」政策，終結多年配股慣例</w:t>
      </w:r>
    </w:p>
    <w:p>
      <w:pPr>
        <w:pStyle w:val="ListBullet"/>
        <w:ind w:left="360"/>
      </w:pPr>
      <w:r>
        <w:t>配發股息逾500億元，是支撐市場流動性的重要支柱</w:t>
      </w:r>
    </w:p>
    <w:p>
      <w:pPr>
        <w:pStyle w:val="ListBullet"/>
        <w:ind w:left="360"/>
      </w:pPr>
      <w:r>
        <w:t>富邦人壽接軌IFRS 17，資本結構持續改善</w:t>
      </w:r>
    </w:p>
    <w:p>
      <w:pPr>
        <w:pStyle w:val="ListBullet"/>
        <w:ind w:left="360"/>
      </w:pPr>
      <w:r>
        <w:t>本益比不到11倍，評價極具吸引力</w:t>
      </w:r>
    </w:p>
    <w:p>
      <w:r>
        <w:rPr>
          <w:b w:val="0"/>
          <w:sz w:val="22"/>
        </w:rPr>
        <w:t>適合投資人：追求長期成長、高配息的價值型投資人</w:t>
      </w:r>
    </w:p>
    <w:p>
      <w:pPr>
        <w:pStyle w:val="Heading2"/>
        <w:jc w:val="left"/>
      </w:pPr>
      <w:r>
        <w:rPr>
          <w:color w:val="1F4E79"/>
        </w:rPr>
        <w:t>3.3 兆豐金（2886）</w:t>
      </w:r>
    </w:p>
    <w:p>
      <w:r>
        <w:rPr>
          <w:b w:val="0"/>
          <w:sz w:val="22"/>
        </w:rPr>
        <w:t>【官股龍頭 · 政策護盾 · 穩健防禦】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2025年EPS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約2.37元（推估）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2026年配息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1.75元（現金）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現金殖利率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4.47%（公股金控第一）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配發率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約75%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主要業務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銀行（官股）、投控</w:t>
            </w:r>
          </w:p>
        </w:tc>
      </w:tr>
    </w:tbl>
    <w:p/>
    <w:p>
      <w:r>
        <w:rPr>
          <w:b w:val="0"/>
          <w:sz w:val="22"/>
        </w:rPr>
        <w:t>投資亮點：</w:t>
      </w:r>
    </w:p>
    <w:p>
      <w:pPr>
        <w:pStyle w:val="ListBullet"/>
        <w:ind w:left="360"/>
      </w:pPr>
      <w:r>
        <w:t>官股金控背景，政策護盾優勢，營運穩健</w:t>
      </w:r>
    </w:p>
    <w:p>
      <w:pPr>
        <w:pStyle w:val="ListBullet"/>
        <w:ind w:left="360"/>
      </w:pPr>
      <w:r>
        <w:t>管理層明確揭示2026年配發率維持75%</w:t>
      </w:r>
    </w:p>
    <w:p>
      <w:pPr>
        <w:pStyle w:val="ListBullet"/>
        <w:ind w:left="360"/>
      </w:pPr>
      <w:r>
        <w:t>現金殖利率4.47%，在公股金控中排名第一</w:t>
      </w:r>
    </w:p>
    <w:p>
      <w:pPr>
        <w:pStyle w:val="ListBullet"/>
        <w:ind w:left="360"/>
      </w:pPr>
      <w:r>
        <w:t>11月有「六都縣市長選舉行情」潛在利多</w:t>
      </w:r>
    </w:p>
    <w:p>
      <w:pPr>
        <w:pStyle w:val="ListBullet"/>
        <w:ind w:left="360"/>
      </w:pPr>
      <w:r>
        <w:t>存放款業務稳定，淨利差持續擴張</w:t>
      </w:r>
    </w:p>
    <w:p>
      <w:r>
        <w:rPr>
          <w:b w:val="0"/>
          <w:sz w:val="22"/>
        </w:rPr>
        <w:t>適合投資人：偏好官股穩定度、需要動態護航的投資人</w:t>
      </w:r>
    </w:p>
    <w:p>
      <w:pPr>
        <w:pStyle w:val="Heading2"/>
        <w:jc w:val="left"/>
      </w:pPr>
      <w:r>
        <w:rPr>
          <w:color w:val="1F4E79"/>
        </w:rPr>
        <w:t>3.4 中華電（2412）</w:t>
      </w:r>
    </w:p>
    <w:p>
      <w:r>
        <w:rPr>
          <w:b w:val="0"/>
          <w:sz w:val="22"/>
        </w:rPr>
        <w:t>【電信龍頭 · 穩定高配息 · 5G長期價值】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2025年EPS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4.99元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2025年營收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2,361.14億元，年增2.7%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2026年配息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5.2元（現金，創10年新高）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現金殖利率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3.82%（近10年高）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配息率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104.2%（超額配息）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本益比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約26倍（以134元計算）</w:t>
            </w:r>
          </w:p>
        </w:tc>
      </w:tr>
    </w:tbl>
    <w:p/>
    <w:p>
      <w:r>
        <w:rPr>
          <w:b w:val="0"/>
          <w:sz w:val="22"/>
        </w:rPr>
        <w:t>投資亮點：</w:t>
      </w:r>
    </w:p>
    <w:p>
      <w:pPr>
        <w:pStyle w:val="ListBullet"/>
        <w:ind w:left="360"/>
      </w:pPr>
      <w:r>
        <w:t>2025年配息5.2元，創2017年以來新高，配息率104.2%</w:t>
      </w:r>
    </w:p>
    <w:p>
      <w:pPr>
        <w:pStyle w:val="ListBullet"/>
        <w:ind w:left="360"/>
      </w:pPr>
      <w:r>
        <w:t>電信本業穩固，5G用戶持續成長，MOD與寬頻業務穩健</w:t>
      </w:r>
    </w:p>
    <w:p>
      <w:pPr>
        <w:pStyle w:val="ListBullet"/>
        <w:ind w:left="360"/>
      </w:pPr>
      <w:r>
        <w:t>積極布局AI與雲端基礎建設，MWC 2026話題加持</w:t>
      </w:r>
    </w:p>
    <w:p>
      <w:pPr>
        <w:pStyle w:val="ListBullet"/>
        <w:ind w:left="360"/>
      </w:pPr>
      <w:r>
        <w:t>殖利率近4%，具備防禦特性</w:t>
      </w:r>
    </w:p>
    <w:p>
      <w:pPr>
        <w:pStyle w:val="ListBullet"/>
        <w:ind w:left="360"/>
      </w:pPr>
      <w:r>
        <w:t>適合存股族，股價相對低波動</w:t>
      </w:r>
    </w:p>
    <w:p>
      <w:r>
        <w:rPr>
          <w:b w:val="0"/>
          <w:sz w:val="22"/>
        </w:rPr>
        <w:t>風險提示：本益比約26倍，相對偏高，應等待拉回布局</w:t>
      </w:r>
    </w:p>
    <w:p>
      <w:pPr>
        <w:pStyle w:val="Heading2"/>
        <w:jc w:val="left"/>
      </w:pPr>
      <w:r>
        <w:rPr>
          <w:color w:val="1F4E79"/>
        </w:rPr>
        <w:t>3.5 元大金（2885）</w:t>
      </w:r>
    </w:p>
    <w:p>
      <w:r>
        <w:rPr>
          <w:b w:val="0"/>
          <w:sz w:val="22"/>
        </w:rPr>
        <w:t>【證券龍頭 · 總股利歷史新高 · 成長潛力】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2025年EPS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約2.5元（推估）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2026年配息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1.8元（現金）+ 0.4元（股票）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總股利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寫下史上新高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現金殖利率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3.44%（仍具吸引力）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主要業務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證券（龍頭）、銀行、投控</w:t>
            </w:r>
          </w:p>
        </w:tc>
      </w:tr>
    </w:tbl>
    <w:p/>
    <w:p>
      <w:r>
        <w:rPr>
          <w:b w:val="0"/>
          <w:sz w:val="22"/>
        </w:rPr>
        <w:t>投資亮點：</w:t>
      </w:r>
    </w:p>
    <w:p>
      <w:pPr>
        <w:pStyle w:val="ListBullet"/>
        <w:ind w:left="360"/>
      </w:pPr>
      <w:r>
        <w:t>證券業務龍頭，受惠AI帶動的股市交易量放大</w:t>
      </w:r>
    </w:p>
    <w:p>
      <w:pPr>
        <w:pStyle w:val="ListBullet"/>
        <w:ind w:left="360"/>
      </w:pPr>
      <w:r>
        <w:t>總股利創下歷史新高，兼顧現金與股票股利</w:t>
      </w:r>
    </w:p>
    <w:p>
      <w:pPr>
        <w:pStyle w:val="ListBullet"/>
        <w:ind w:left="360"/>
      </w:pPr>
      <w:r>
        <w:t>除了現金股利外，也配發股票股利，對存股族具吸引力</w:t>
      </w:r>
    </w:p>
    <w:p>
      <w:pPr>
        <w:pStyle w:val="ListBullet"/>
        <w:ind w:left="360"/>
      </w:pPr>
      <w:r>
        <w:t>2026年若台股持續多頭，證券獲利將水漲船高</w:t>
      </w:r>
    </w:p>
    <w:p>
      <w:pPr>
        <w:pStyle w:val="ListBullet"/>
        <w:ind w:left="360"/>
      </w:pPr>
      <w:r>
        <w:t>元大投顧研究實力堅強，研究報告備受市場信賴</w:t>
      </w:r>
    </w:p>
    <w:p>
      <w:r>
        <w:rPr>
          <w:b w:val="0"/>
          <w:sz w:val="22"/>
        </w:rPr>
        <w:t>適合投資人：看好2026年台股多頭行情的成長型投資人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第四章、風險提示</w:t>
      </w:r>
    </w:p>
    <w:p>
      <w:pPr>
        <w:pStyle w:val="Heading2"/>
        <w:jc w:val="left"/>
      </w:pPr>
      <w:r>
        <w:rPr>
          <w:color w:val="1F4E79"/>
        </w:rPr>
        <w:t>4.1 總體風險</w:t>
      </w:r>
    </w:p>
    <w:p>
      <w:pPr>
        <w:pStyle w:val="ListBullet"/>
        <w:ind w:left="360"/>
      </w:pPr>
      <w:r>
        <w:t>地緣政治風險：中東戰事（美伊衝突）影響國際油價與通膨</w:t>
      </w:r>
    </w:p>
    <w:p>
      <w:pPr>
        <w:pStyle w:val="ListBullet"/>
        <w:ind w:left="360"/>
      </w:pPr>
      <w:r>
        <w:t>美國關稅政策不確定性：川普政府以貿易法第122條與第301條持續施壓</w:t>
      </w:r>
    </w:p>
    <w:p>
      <w:pPr>
        <w:pStyle w:val="ListBullet"/>
        <w:ind w:left="360"/>
      </w:pPr>
      <w:r>
        <w:t>AI泡沫疑慮：科技股本益比過高，若AI應用落地不如預期將面臨修正</w:t>
      </w:r>
    </w:p>
    <w:p>
      <w:pPr>
        <w:pStyle w:val="ListBullet"/>
        <w:ind w:left="360"/>
      </w:pPr>
      <w:r>
        <w:t>Fed新主席政策轉向：升息對金融業存匯利差有益，但可能抑制股市</w:t>
      </w:r>
    </w:p>
    <w:p>
      <w:pPr>
        <w:pStyle w:val="ListBullet"/>
        <w:ind w:left="360"/>
      </w:pPr>
      <w:r>
        <w:t>中國經濟放緩：中國房市危機與內需疲弱影響台灣傳產供應鏈</w:t>
      </w:r>
    </w:p>
    <w:p>
      <w:pPr>
        <w:pStyle w:val="Heading2"/>
        <w:jc w:val="left"/>
      </w:pPr>
      <w:r>
        <w:rPr>
          <w:color w:val="1F4E79"/>
        </w:rPr>
        <w:t>4.2 產業風險</w:t>
      </w:r>
    </w:p>
    <w:p>
      <w:pPr>
        <w:pStyle w:val="ListBullet"/>
        <w:ind w:left="360"/>
      </w:pPr>
      <w:r>
        <w:t>壽險業接軌IFRS 17與TW-ICS：資本壓力仍在，配息受限</w:t>
      </w:r>
    </w:p>
    <w:p>
      <w:pPr>
        <w:pStyle w:val="ListBullet"/>
        <w:ind w:left="360"/>
      </w:pPr>
      <w:r>
        <w:t>電信業競爭加劇：5G殺價競爭影響中華電毛利</w:t>
      </w:r>
    </w:p>
    <w:p>
      <w:pPr>
        <w:pStyle w:val="ListBullet"/>
        <w:ind w:left="360"/>
      </w:pPr>
      <w:r>
        <w:t>證券業景氣循環：元大金獲利與台股交易量高度相關，多頭市場才能繳出佳績</w:t>
      </w:r>
    </w:p>
    <w:p>
      <w:pPr>
        <w:pStyle w:val="ListBullet"/>
        <w:ind w:left="360"/>
      </w:pPr>
      <w:r>
        <w:t>傳產受關稅與中國產能過剩衝擊：台泥、中鋼面臨需求放緩壓力</w:t>
      </w:r>
    </w:p>
    <w:p>
      <w:pPr>
        <w:pStyle w:val="Heading2"/>
        <w:jc w:val="left"/>
      </w:pPr>
      <w:r>
        <w:rPr>
          <w:color w:val="1F4E79"/>
        </w:rPr>
        <w:t>4.3 個別股票風險</w:t>
      </w:r>
    </w:p>
    <w:p>
      <w:pPr>
        <w:pStyle w:val="ListBullet"/>
        <w:ind w:left="360"/>
      </w:pPr>
      <w:r>
        <w:t>中信金：購併後整合效益待觀察；壽險匯兌風險需持續追蹤</w:t>
      </w:r>
    </w:p>
    <w:p>
      <w:pPr>
        <w:pStyle w:val="ListBullet"/>
        <w:ind w:left="360"/>
      </w:pPr>
      <w:r>
        <w:t>富邦金：本益比低反映市場對壽險業的疑慮；IFRS 17接軌挑戰仍在</w:t>
      </w:r>
    </w:p>
    <w:p>
      <w:pPr>
        <w:pStyle w:val="ListBullet"/>
        <w:ind w:left="360"/>
      </w:pPr>
      <w:r>
        <w:t>兆豐金：官股背景限制發展彈性；政策導向影響股利發放</w:t>
      </w:r>
    </w:p>
    <w:p>
      <w:pPr>
        <w:pStyle w:val="ListBullet"/>
        <w:ind w:left="360"/>
      </w:pPr>
      <w:r>
        <w:t>中華電：本益比26倍相對偏高；固網與行動市場成長有限</w:t>
      </w:r>
    </w:p>
    <w:p>
      <w:pPr>
        <w:pStyle w:val="ListBullet"/>
        <w:ind w:left="360"/>
      </w:pPr>
      <w:r>
        <w:t>元大金：與台股交易量高度相關，股市反轉將影響獲利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第五章、結論與投資建議</w:t>
      </w:r>
    </w:p>
    <w:p>
      <w:pPr>
        <w:pStyle w:val="Heading2"/>
        <w:jc w:val="left"/>
      </w:pPr>
      <w:r>
        <w:rPr>
          <w:color w:val="1F4E79"/>
        </w:rPr>
        <w:t>5.1 市場觀點總結</w:t>
      </w:r>
    </w:p>
    <w:p>
      <w:r>
        <w:rPr>
          <w:b w:val="0"/>
          <w:sz w:val="22"/>
        </w:rPr>
        <w:t>2026年第二季，台灣股市在AI需求持續強勁、出口表現亮眼的支撐下，基本面依然堅實。然而，在高基期、高本益比的背景下，指數震盪加劇，資金開始輪動至低基期且具備穩定股利的價值股。</w:t>
      </w:r>
    </w:p>
    <w:p>
      <w:pPr>
        <w:pStyle w:val="Heading2"/>
        <w:jc w:val="left"/>
      </w:pPr>
      <w:r>
        <w:rPr>
          <w:color w:val="1F4E79"/>
        </w:rPr>
        <w:t>5.2 價值股投資策略</w:t>
      </w:r>
    </w:p>
    <w:p>
      <w:r>
        <w:rPr>
          <w:b w:val="0"/>
          <w:sz w:val="22"/>
        </w:rPr>
        <w:t>根據以上分析，我們提出以下價值股投資策略：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股票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投資類型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建議理由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目標殖利率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中信金（2891）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穩健存股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殖利率最高、獲利穩定成長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4.78%以上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富邦金（2881）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價值投資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本益比低、獲利王、配息大方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4.72%以上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兆豐金（2886）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防禦配置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官股保障、政策護盾、穩健防禦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4.47%以上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中華電（2412）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長期存股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配息創新高、5G長期價值、防禦性佳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3.82%以上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元大金（2885）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成長配置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總股利歷史新高、證券龍頭、多頭受惠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3.44%以上</w:t>
            </w:r>
          </w:p>
        </w:tc>
      </w:tr>
    </w:tbl>
    <w:p/>
    <w:p>
      <w:pPr>
        <w:pStyle w:val="Heading2"/>
        <w:jc w:val="left"/>
      </w:pPr>
      <w:r>
        <w:rPr>
          <w:color w:val="1F4E79"/>
        </w:rPr>
        <w:t>5.3 資產配置建議</w:t>
      </w:r>
    </w:p>
    <w:p>
      <w:r>
        <w:rPr>
          <w:b w:val="0"/>
          <w:sz w:val="22"/>
        </w:rPr>
        <w:t>参考杜金龍與陳重銘兩位專家的建議，合理的資產配置如下：</w:t>
      </w:r>
    </w:p>
    <w:p>
      <w:pPr>
        <w:pStyle w:val="ListBullet"/>
        <w:ind w:left="360"/>
      </w:pPr>
      <w:r>
        <w:t>核心部位（70%）：科技成長股為主，AI供應鏈核心持股</w:t>
      </w:r>
    </w:p>
    <w:p>
      <w:pPr>
        <w:pStyle w:val="ListBullet"/>
        <w:ind w:left="360"/>
      </w:pPr>
      <w:r>
        <w:t>衛星部位（20%）：價值型金融股（富邦金、中信金為首選）</w:t>
      </w:r>
    </w:p>
    <w:p>
      <w:pPr>
        <w:pStyle w:val="ListBullet"/>
        <w:ind w:left="360"/>
      </w:pPr>
      <w:r>
        <w:t>防禦部位（10%）：中華電、兆豐金等高股息穩定股</w:t>
      </w:r>
    </w:p>
    <w:p>
      <w:pPr>
        <w:pStyle w:val="Heading2"/>
        <w:jc w:val="left"/>
      </w:pPr>
      <w:r>
        <w:rPr>
          <w:color w:val="1F4E79"/>
        </w:rPr>
        <w:t>5.4 進場時機建議</w:t>
      </w:r>
    </w:p>
    <w:p>
      <w:pPr>
        <w:pStyle w:val="ListBullet"/>
        <w:ind w:left="360"/>
      </w:pPr>
      <w:r>
        <w:t>金融股：第2季、第3季指數進入震盪區間時，分批布局</w:t>
      </w:r>
    </w:p>
    <w:p>
      <w:pPr>
        <w:pStyle w:val="ListBullet"/>
        <w:ind w:left="360"/>
      </w:pPr>
      <w:r>
        <w:t>中華電：等待拉回至130元以下再進場，殖利率更有吸引力</w:t>
      </w:r>
    </w:p>
    <w:p>
      <w:pPr>
        <w:pStyle w:val="ListBullet"/>
        <w:ind w:left="360"/>
      </w:pPr>
      <w:r>
        <w:t>元大金：可在台股回檔時逢低承接，享受證券獲利的成長動能</w:t>
      </w:r>
    </w:p>
    <w:p>
      <w:pPr>
        <w:pStyle w:val="Heading2"/>
        <w:jc w:val="left"/>
      </w:pPr>
      <w:r>
        <w:rPr>
          <w:color w:val="1F4E79"/>
        </w:rPr>
        <w:t>5.5 重要監控指標</w:t>
      </w:r>
    </w:p>
    <w:p>
      <w:pPr>
        <w:pStyle w:val="ListBullet"/>
        <w:ind w:left="360"/>
      </w:pPr>
      <w:r>
        <w:t>本益比：個股本益比高於20倍時需提高警覺</w:t>
      </w:r>
    </w:p>
    <w:p>
      <w:pPr>
        <w:pStyle w:val="ListBullet"/>
        <w:ind w:left="360"/>
      </w:pPr>
      <w:r>
        <w:t>殖利率：低於3.5%時需評估是否過度高估</w:t>
      </w:r>
    </w:p>
    <w:p>
      <w:pPr>
        <w:pStyle w:val="ListBullet"/>
        <w:ind w:left="360"/>
      </w:pPr>
      <w:r>
        <w:t>法人籌碼：持續追蹤三大法人買賣超變化</w:t>
      </w:r>
    </w:p>
    <w:p>
      <w:pPr>
        <w:pStyle w:val="ListBullet"/>
        <w:ind w:left="360"/>
      </w:pPr>
      <w:r>
        <w:t>總體經濟：關注Fed利率決策、中東局勢、美國關稅政策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【重要聲明】</w:t>
      </w:r>
    </w:p>
    <w:p>
      <w:r>
        <w:rPr>
          <w:b w:val="0"/>
          <w:sz w:val="18"/>
        </w:rPr>
        <w:t>1. 本報告所有數據來自公開資訊，資料截止日期為2026年5月5日，資料來源包括：Money錢雜誌、J.P. Morgan Asset Management、中華經濟研究院、台經院、鉅亨網、科技新報等。</w:t>
      </w:r>
    </w:p>
    <w:p>
      <w:r>
        <w:rPr>
          <w:b w:val="0"/>
          <w:sz w:val="18"/>
        </w:rPr>
        <w:t>2. 本報告僅供教育與研究用途，不構成任何投資建議或買賣邀約。</w:t>
      </w:r>
    </w:p>
    <w:p>
      <w:r>
        <w:rPr>
          <w:b w:val="0"/>
          <w:sz w:val="18"/>
        </w:rPr>
        <w:t>3. 投資人應自行承擔投資風險，過去績效不代表未來表現。</w:t>
      </w:r>
    </w:p>
    <w:p>
      <w:r>
        <w:rPr>
          <w:b w:val="0"/>
          <w:sz w:val="18"/>
        </w:rPr>
        <w:t>4. 本報告提及之股票僅為舉例說明，不構成任何推荐，投資人應進行獨立判斷。</w:t>
      </w:r>
    </w:p>
    <w:p>
      <w:r>
        <w:rPr>
          <w:b w:val="0"/>
          <w:sz w:val="18"/>
        </w:rPr>
        <w:t>5. 本報告生成日期：2026年5月5日，小歐深度研究顧問出品。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