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3536"/>
      </w:tblGrid>
      <w:tr>
        <w:tc>
          <w:tcPr>
            <w:tcW w:type="dxa" w:w="13536"/>
            <w:shd w:fill="1a3a5c"/>
          </w:tcPr>
          <w:p>
            <w:pPr>
              <w:spacing w:before="200" w:after="200" w:line="264" w:lineRule="auto"/>
              <w:jc w:val="center"/>
            </w:pPr>
            <w:r>
              <w:rPr>
                <w:rFonts w:ascii="微軟正黑體" w:hAnsi="微軟正黑體"/>
                <w:b/>
                <w:color w:val="FFFFFF"/>
                <w:sz w:val="64"/>
              </w:rPr>
              <w:t>消費者行為與市場趨勢</w:t>
            </w:r>
          </w:p>
          <w:p>
            <w:pPr>
              <w:spacing w:before="100" w:after="400" w:line="264" w:lineRule="auto"/>
              <w:jc w:val="center"/>
            </w:pPr>
            <w:r>
              <w:rPr>
                <w:color w:val="D4E6F1"/>
                <w:sz w:val="28"/>
              </w:rPr>
              <w:t>📅 2026年05月08日 | 小安研究團隊</w:t>
            </w:r>
          </w:p>
        </w:tc>
      </w:tr>
    </w:tbl>
    <w:p/>
    <w:p/>
    <w:p>
      <w:pPr>
        <w:spacing w:before="120" w:after="120" w:line="264" w:lineRule="auto"/>
      </w:pPr>
      <w:r>
        <w:rPr>
          <w:color w:val="007AB8"/>
          <w:sz w:val="16"/>
        </w:rPr>
        <w:t>────────────────────────────────────────────────────────────</w:t>
      </w:r>
    </w:p>
    <w:p>
      <w:pPr>
        <w:spacing w:before="160" w:after="120" w:line="264" w:lineRule="auto"/>
      </w:pPr>
      <w:r>
        <w:rPr>
          <w:rFonts w:ascii="微軟正黑體" w:hAnsi="微軟正黑體"/>
          <w:b/>
          <w:color w:val="007AB8"/>
          <w:sz w:val="36"/>
        </w:rPr>
        <w:t>📌 執行摘要</w:t>
      </w:r>
    </w:p>
    <w:p>
      <w:pPr>
        <w:spacing w:before="120" w:after="120" w:line="264" w:lineRule="auto"/>
      </w:pPr>
      <w:r>
        <w:rPr>
          <w:color w:val="007AB8"/>
          <w:sz w:val="16"/>
        </w:rPr>
        <w:t>────────────────────────────────────────────────────────────</w:t>
      </w:r>
    </w:p>
    <w:tbl>
      <w:tblPr>
        <w:tblW w:type="auto" w:w="0"/>
        <w:tblLook w:firstColumn="1" w:firstRow="1" w:lastColumn="0" w:lastRow="0" w:noHBand="0" w:noVBand="1" w:val="04A0"/>
      </w:tblPr>
      <w:tblGrid>
        <w:gridCol w:w="13536"/>
      </w:tblGrid>
      <w:tr>
        <w:tc>
          <w:tcPr>
            <w:tcW w:type="dxa" w:w="13536"/>
            <w:shd w:fill="d4e6f1"/>
          </w:tcPr>
          <w:p>
            <w:pPr>
              <w:spacing w:before="200" w:after="200" w:line="264" w:lineRule="auto"/>
            </w:pPr>
            <w:r>
              <w:rPr>
                <w:color w:val="2C3E50"/>
                <w:sz w:val="26"/>
              </w:rPr>
              <w:t>本報告針對「消費者行為與市場趨勢」進行深度研究，</w:t>
            </w:r>
            <w:r>
              <w:rPr>
                <w:color w:val="556677"/>
                <w:sz w:val="26"/>
              </w:rPr>
              <w:t>分析2024-2025年消費者行為變化，包括Z世代、千禧世代的消費特徵與市場商機</w:t>
            </w:r>
          </w:p>
        </w:tc>
      </w:tr>
    </w:tbl>
    <w:p/>
    <w:p/>
    <w:p>
      <w:pPr>
        <w:spacing w:before="120" w:after="120" w:line="264" w:lineRule="auto"/>
      </w:pPr>
      <w:r>
        <w:rPr>
          <w:color w:val="27AE60"/>
          <w:sz w:val="16"/>
        </w:rPr>
        <w:t>────────────────────────────────────────────────────────────</w:t>
      </w:r>
    </w:p>
    <w:p>
      <w:pPr>
        <w:spacing w:before="160" w:after="120" w:line="264" w:lineRule="auto"/>
      </w:pPr>
      <w:r>
        <w:rPr>
          <w:rFonts w:ascii="微軟正黑體" w:hAnsi="微軟正黑體"/>
          <w:b/>
          <w:color w:val="27AE60"/>
          <w:sz w:val="36"/>
        </w:rPr>
        <w:t>📊 市場現況分析</w:t>
      </w:r>
    </w:p>
    <w:p>
      <w:pPr>
        <w:spacing w:before="120" w:after="120" w:line="264" w:lineRule="auto"/>
      </w:pPr>
      <w:r>
        <w:rPr>
          <w:color w:val="27AE60"/>
          <w:sz w:val="16"/>
        </w:rPr>
        <w:t>────────────────────────────────────────────────────────────</w:t>
      </w:r>
    </w:p>
    <w:p>
      <w:pPr>
        <w:spacing w:before="120" w:after="120" w:line="264" w:lineRule="auto"/>
      </w:pPr>
      <w:r>
        <w:rPr>
          <w:color w:val="27AE60"/>
          <w:sz w:val="24"/>
        </w:rPr>
        <w:t xml:space="preserve">🔵 </w:t>
      </w:r>
      <w:r>
        <w:rPr>
          <w:color w:val="2C3E50"/>
          <w:sz w:val="24"/>
        </w:rPr>
        <w:t>誰在影響你的購物決定? 從「Z世代」到「嬰兒潮世代」消費行為大不同!：... 分析指出，Z世代高度依賴社群平台與KOL推薦，X世代則更重視產品實用性與性價比，而嬰兒潮世代仍以品牌信任與口碑作為主要依據，世代差異正持續改寫消費市場...</w:t>
      </w:r>
    </w:p>
    <w:p>
      <w:pPr>
        <w:spacing w:before="40" w:after="120" w:line="264" w:lineRule="auto"/>
      </w:pPr>
      <w:r>
        <w:rPr>
          <w:color w:val="007AB8"/>
          <w:sz w:val="18"/>
        </w:rPr>
        <w:t xml:space="preserve">   ↳ https://www.youtube.com/watch?v=27wVVPTaXNE</w:t>
      </w:r>
    </w:p>
    <w:p>
      <w:pPr>
        <w:spacing w:before="120" w:after="120" w:line="264" w:lineRule="auto"/>
      </w:pPr>
      <w:r>
        <w:rPr>
          <w:color w:val="27AE60"/>
          <w:sz w:val="24"/>
        </w:rPr>
        <w:t xml:space="preserve">🔵 </w:t>
      </w:r>
      <w:r>
        <w:rPr>
          <w:color w:val="2C3E50"/>
          <w:sz w:val="24"/>
        </w:rPr>
        <w:t>2025 年瑞士零售業展望(Retail Outlook 2025)(下) - ：在科技應用及數位通路方面，這兩個世代也有差異： Z 世代消費者不僅接受來自社交媒體及來自零售商應用軟體的靈感及資訊並且消費行為深受其影響，另外年輕族群...</w:t>
      </w:r>
    </w:p>
    <w:p>
      <w:pPr>
        <w:spacing w:before="40" w:after="120" w:line="264" w:lineRule="auto"/>
      </w:pPr>
      <w:r>
        <w:rPr>
          <w:color w:val="007AB8"/>
          <w:sz w:val="18"/>
        </w:rPr>
        <w:t xml:space="preserve">   ↳ https://www.trade.gov.tw/Pages/Detail.aspx?nodeID=45&amp;pid=798836&amp;areaID=2&amp;infotype=1&amp;country=55Ge5aOr&amp;history=&amp;PointWork=1</w:t>
      </w:r>
    </w:p>
    <w:p>
      <w:pPr>
        <w:spacing w:before="120" w:after="120" w:line="264" w:lineRule="auto"/>
      </w:pPr>
      <w:r>
        <w:rPr>
          <w:color w:val="27AE60"/>
          <w:sz w:val="24"/>
        </w:rPr>
        <w:t xml:space="preserve">🔵 </w:t>
      </w:r>
      <w:r>
        <w:rPr>
          <w:color w:val="2C3E50"/>
          <w:sz w:val="24"/>
        </w:rPr>
        <w:t>Z世代消費行為分析：# 解密Z世代：掌握五大消費特徵，提升電商業績. Smart Share Buttons Icon 分享. Z世代，指的是出生於1990年代末至2010年代初的...</w:t>
      </w:r>
    </w:p>
    <w:p>
      <w:pPr>
        <w:spacing w:before="40" w:after="120" w:line="264" w:lineRule="auto"/>
      </w:pPr>
      <w:r>
        <w:rPr>
          <w:color w:val="007AB8"/>
          <w:sz w:val="18"/>
        </w:rPr>
        <w:t xml:space="preserve">   ↳ https://www.dhl.com/discover/zh-hk/e-commerce-advice/e-commerce-trends/understanding-the-gen-z-consumer</w:t>
      </w:r>
    </w:p>
    <w:p/>
    <w:p/>
    <w:p>
      <w:pPr>
        <w:spacing w:before="120" w:after="120" w:line="264" w:lineRule="auto"/>
      </w:pPr>
      <w:r>
        <w:rPr>
          <w:color w:val="8E44AD"/>
          <w:sz w:val="16"/>
        </w:rPr>
        <w:t>────────────────────────────────────────────────────────────</w:t>
      </w:r>
    </w:p>
    <w:p>
      <w:pPr>
        <w:spacing w:before="160" w:after="120" w:line="264" w:lineRule="auto"/>
      </w:pPr>
      <w:r>
        <w:rPr>
          <w:rFonts w:ascii="微軟正黑體" w:hAnsi="微軟正黑體"/>
          <w:b/>
          <w:color w:val="8E44AD"/>
          <w:sz w:val="36"/>
        </w:rPr>
        <w:t>🔍 趨勢與機會</w:t>
      </w:r>
    </w:p>
    <w:p>
      <w:pPr>
        <w:spacing w:before="120" w:after="120" w:line="264" w:lineRule="auto"/>
      </w:pPr>
      <w:r>
        <w:rPr>
          <w:color w:val="8E44AD"/>
          <w:sz w:val="16"/>
        </w:rPr>
        <w:t>────────────────────────────────────────────────────────────</w:t>
      </w:r>
    </w:p>
    <w:p>
      <w:pPr>
        <w:spacing w:before="120" w:after="120" w:line="264" w:lineRule="auto"/>
      </w:pPr>
      <w:r>
        <w:rPr>
          <w:color w:val="8E44AD"/>
          <w:sz w:val="24"/>
        </w:rPr>
        <w:t xml:space="preserve">🔷 </w:t>
      </w:r>
      <w:r>
        <w:rPr>
          <w:color w:val="2C3E50"/>
          <w:sz w:val="24"/>
        </w:rPr>
        <w:t>[PDF] 时尚消费力洞察报告2025</w:t>
      </w:r>
    </w:p>
    <w:p>
      <w:pPr>
        <w:spacing w:before="40" w:after="120" w:line="264" w:lineRule="auto"/>
      </w:pPr>
      <w:r>
        <w:rPr>
          <w:color w:val="556677"/>
          <w:sz w:val="22"/>
        </w:rPr>
        <w:t xml:space="preserve">   ↳ 时尚消费力 洞察报告2025 潮流新时消费新世 2025年4月 消费力洞察系列报告 1 仲量联行丨21世纪经济研究院 时尚消费力洞察报告2025｜潮流新时消费新世 仲量联行联合21世纪经济研究院发布的...</w:t>
      </w:r>
    </w:p>
    <w:p>
      <w:pPr>
        <w:spacing w:before="120" w:after="120" w:line="264" w:lineRule="auto"/>
      </w:pPr>
      <w:r>
        <w:rPr>
          <w:color w:val="8E44AD"/>
          <w:sz w:val="24"/>
        </w:rPr>
        <w:t xml:space="preserve">🔷 </w:t>
      </w:r>
      <w:r>
        <w:rPr>
          <w:color w:val="2C3E50"/>
          <w:sz w:val="24"/>
        </w:rPr>
        <w:t>[PDF] Z 世代“反向消费”现象的原因及影响</w:t>
      </w:r>
    </w:p>
    <w:p>
      <w:pPr>
        <w:spacing w:before="40" w:after="120" w:line="264" w:lineRule="auto"/>
      </w:pPr>
      <w:r>
        <w:rPr>
          <w:color w:val="556677"/>
          <w:sz w:val="22"/>
        </w:rPr>
        <w:t xml:space="preserve">   ↳ http://www.sinoss.net - 9 - The Causes and Impacts of the "Reverse Consumption" Phenomenon among Gen...</w:t>
      </w:r>
    </w:p>
    <w:p/>
    <w:p/>
    <w:p>
      <w:pPr>
        <w:spacing w:before="120" w:after="120" w:line="264" w:lineRule="auto"/>
      </w:pPr>
      <w:r>
        <w:rPr>
          <w:color w:val="E74C3C"/>
          <w:sz w:val="16"/>
        </w:rPr>
        <w:t>────────────────────────────────────────────────────────────</w:t>
      </w:r>
    </w:p>
    <w:p>
      <w:pPr>
        <w:spacing w:before="160" w:after="120" w:line="264" w:lineRule="auto"/>
      </w:pPr>
      <w:r>
        <w:rPr>
          <w:rFonts w:ascii="微軟正黑體" w:hAnsi="微軟正黑體"/>
          <w:b/>
          <w:color w:val="E74C3C"/>
          <w:sz w:val="36"/>
        </w:rPr>
        <w:t>⚠️ 風險分析</w:t>
      </w:r>
    </w:p>
    <w:p>
      <w:pPr>
        <w:spacing w:before="120" w:after="120" w:line="264" w:lineRule="auto"/>
      </w:pPr>
      <w:r>
        <w:rPr>
          <w:color w:val="E74C3C"/>
          <w:sz w:val="16"/>
        </w:rPr>
        <w:t>────────────────────────────────────────────────────────────</w:t>
      </w:r>
    </w:p>
    <w:p>
      <w:pPr>
        <w:spacing w:before="120" w:after="120" w:line="264" w:lineRule="auto"/>
      </w:pPr>
      <w:r>
        <w:rPr>
          <w:color w:val="E74C3C"/>
          <w:sz w:val="24"/>
        </w:rPr>
        <w:t xml:space="preserve">⚡ </w:t>
      </w:r>
      <w:r>
        <w:rPr>
          <w:color w:val="2C3E50"/>
          <w:sz w:val="24"/>
        </w:rPr>
        <w:t>市場波動：價格易受市場情緒影響，投資人需具備風險意識</w:t>
      </w:r>
    </w:p>
    <w:p>
      <w:pPr>
        <w:spacing w:before="120" w:after="120" w:line="264" w:lineRule="auto"/>
      </w:pPr>
      <w:r>
        <w:rPr>
          <w:color w:val="E74C3C"/>
          <w:sz w:val="24"/>
        </w:rPr>
        <w:t xml:space="preserve">⚡ </w:t>
      </w:r>
      <w:r>
        <w:rPr>
          <w:color w:val="2C3E50"/>
          <w:sz w:val="24"/>
        </w:rPr>
        <w:t>政策變化：各國監管政策不確定，可能影響產業發展</w:t>
      </w:r>
    </w:p>
    <w:p>
      <w:pPr>
        <w:spacing w:before="120" w:after="120" w:line="264" w:lineRule="auto"/>
      </w:pPr>
      <w:r>
        <w:rPr>
          <w:color w:val="E74C3C"/>
          <w:sz w:val="24"/>
        </w:rPr>
        <w:t xml:space="preserve">⚡ </w:t>
      </w:r>
      <w:r>
        <w:rPr>
          <w:color w:val="2C3E50"/>
          <w:sz w:val="24"/>
        </w:rPr>
        <w:t>技術迭代：科技快速變革，需持續追蹤技術動向</w:t>
      </w:r>
    </w:p>
    <w:p>
      <w:pPr>
        <w:spacing w:before="120" w:after="120" w:line="264" w:lineRule="auto"/>
      </w:pPr>
      <w:r>
        <w:rPr>
          <w:color w:val="E74C3C"/>
          <w:sz w:val="24"/>
        </w:rPr>
        <w:t xml:space="preserve">⚡ </w:t>
      </w:r>
      <w:r>
        <w:rPr>
          <w:color w:val="2C3E50"/>
          <w:sz w:val="24"/>
        </w:rPr>
        <w:t>競爭加劇：市場競爭激烈，需評估競爭者動態</w:t>
      </w:r>
    </w:p>
    <w:p/>
    <w:p/>
    <w:p>
      <w:pPr>
        <w:spacing w:before="120" w:after="120" w:line="264" w:lineRule="auto"/>
      </w:pPr>
      <w:r>
        <w:rPr>
          <w:color w:val="E67E22"/>
          <w:sz w:val="16"/>
        </w:rPr>
        <w:t>────────────────────────────────────────────────────────────</w:t>
      </w:r>
    </w:p>
    <w:p>
      <w:pPr>
        <w:spacing w:before="160" w:after="120" w:line="264" w:lineRule="auto"/>
      </w:pPr>
      <w:r>
        <w:rPr>
          <w:rFonts w:ascii="微軟正黑體" w:hAnsi="微軟正黑體"/>
          <w:b/>
          <w:color w:val="E67E22"/>
          <w:sz w:val="36"/>
        </w:rPr>
        <w:t>💡 結論與建議</w:t>
      </w:r>
    </w:p>
    <w:p>
      <w:pPr>
        <w:spacing w:before="120" w:after="120" w:line="264" w:lineRule="auto"/>
      </w:pPr>
      <w:r>
        <w:rPr>
          <w:color w:val="E67E22"/>
          <w:sz w:val="16"/>
        </w:rPr>
        <w:t>────────────────────────────────────────────────────────────</w:t>
      </w:r>
    </w:p>
    <w:p>
      <w:pPr>
        <w:spacing w:before="120" w:after="120" w:line="264" w:lineRule="auto"/>
      </w:pPr>
      <w:r>
        <w:rPr>
          <w:color w:val="E67E22"/>
          <w:sz w:val="24"/>
        </w:rPr>
        <w:t xml:space="preserve">✅ </w:t>
      </w:r>
      <w:r>
        <w:rPr>
          <w:color w:val="2C3E50"/>
          <w:sz w:val="24"/>
        </w:rPr>
        <w:t>1. 持續追蹤：定期關注產業動態和市場趨勢</w:t>
      </w:r>
    </w:p>
    <w:p>
      <w:pPr>
        <w:spacing w:before="120" w:after="120" w:line="264" w:lineRule="auto"/>
      </w:pPr>
      <w:r>
        <w:rPr>
          <w:color w:val="E67E22"/>
          <w:sz w:val="24"/>
        </w:rPr>
        <w:t xml:space="preserve">✅ </w:t>
      </w:r>
      <w:r>
        <w:rPr>
          <w:color w:val="2C3E50"/>
          <w:sz w:val="24"/>
        </w:rPr>
        <w:t>2. 分散投資：不要單壓一個領域，做好資產配置</w:t>
      </w:r>
    </w:p>
    <w:p>
      <w:pPr>
        <w:spacing w:before="120" w:after="120" w:line="264" w:lineRule="auto"/>
      </w:pPr>
      <w:r>
        <w:rPr>
          <w:color w:val="E67E22"/>
          <w:sz w:val="24"/>
        </w:rPr>
        <w:t xml:space="preserve">✅ </w:t>
      </w:r>
      <w:r>
        <w:rPr>
          <w:color w:val="2C3E50"/>
          <w:sz w:val="24"/>
        </w:rPr>
        <w:t>3. 風險管理：設定停損點，控制虧損範圍</w:t>
      </w:r>
    </w:p>
    <w:p>
      <w:pPr>
        <w:spacing w:before="120" w:after="120" w:line="264" w:lineRule="auto"/>
      </w:pPr>
      <w:r>
        <w:rPr>
          <w:color w:val="E67E22"/>
          <w:sz w:val="24"/>
        </w:rPr>
        <w:t xml:space="preserve">✅ </w:t>
      </w:r>
      <w:r>
        <w:rPr>
          <w:color w:val="2C3E50"/>
          <w:sz w:val="24"/>
        </w:rPr>
        <w:t>4. 長期持有：對於優質資產，採長期投資策略</w:t>
      </w:r>
    </w:p>
    <w:p/>
    <w:p/>
    <w:p>
      <w:pPr>
        <w:spacing w:before="120" w:after="120" w:line="264" w:lineRule="auto"/>
      </w:pPr>
      <w:r>
        <w:rPr>
          <w:color w:val="17A989"/>
          <w:sz w:val="16"/>
        </w:rPr>
        <w:t>────────────────────────────────────────────────────────────</w:t>
      </w:r>
    </w:p>
    <w:p>
      <w:pPr>
        <w:spacing w:before="160" w:after="120" w:line="264" w:lineRule="auto"/>
      </w:pPr>
      <w:r>
        <w:rPr>
          <w:rFonts w:ascii="微軟正黑體" w:hAnsi="微軟正黑體"/>
          <w:b/>
          <w:color w:val="17A989"/>
          <w:sz w:val="36"/>
        </w:rPr>
        <w:t>📚 資料來源</w:t>
      </w:r>
    </w:p>
    <w:p>
      <w:pPr>
        <w:spacing w:before="120" w:after="120" w:line="264" w:lineRule="auto"/>
      </w:pPr>
      <w:r>
        <w:rPr>
          <w:color w:val="17A989"/>
          <w:sz w:val="16"/>
        </w:rPr>
        <w:t>────────────────────────────────────────────────────────────</w:t>
      </w:r>
    </w:p>
    <w:p>
      <w:pPr>
        <w:spacing w:before="80" w:after="80" w:line="264" w:lineRule="auto"/>
      </w:pPr>
      <w:r>
        <w:rPr>
          <w:color w:val="17A989"/>
          <w:sz w:val="20"/>
        </w:rPr>
        <w:t xml:space="preserve">🔗 </w:t>
      </w:r>
      <w:r>
        <w:rPr>
          <w:color w:val="17A989"/>
          <w:sz w:val="20"/>
        </w:rPr>
        <w:t>https://www.youtube.com/watch?v=27wVVPTaXNE</w:t>
      </w:r>
    </w:p>
    <w:p>
      <w:pPr>
        <w:spacing w:before="80" w:after="80" w:line="264" w:lineRule="auto"/>
      </w:pPr>
      <w:r>
        <w:rPr>
          <w:color w:val="17A989"/>
          <w:sz w:val="20"/>
        </w:rPr>
        <w:t xml:space="preserve">🔗 </w:t>
      </w:r>
      <w:r>
        <w:rPr>
          <w:color w:val="17A989"/>
          <w:sz w:val="20"/>
        </w:rPr>
        <w:t>https://www.trade.gov.tw/Pages/Detail.aspx?nodeID=45&amp;pid=798836&amp;areaID=2&amp;infotype=1&amp;country=55Ge5aOr&amp;history=&amp;PointWork=1</w:t>
      </w:r>
    </w:p>
    <w:p>
      <w:pPr>
        <w:spacing w:before="80" w:after="80" w:line="264" w:lineRule="auto"/>
      </w:pPr>
      <w:r>
        <w:rPr>
          <w:color w:val="17A989"/>
          <w:sz w:val="20"/>
        </w:rPr>
        <w:t xml:space="preserve">🔗 </w:t>
      </w:r>
      <w:r>
        <w:rPr>
          <w:color w:val="17A989"/>
          <w:sz w:val="20"/>
        </w:rPr>
        <w:t>https://www.dhl.com/discover/zh-hk/e-commerce-advice/e-commerce-trends/understanding-the-gen-z-consumer</w:t>
      </w:r>
    </w:p>
    <w:p>
      <w:pPr>
        <w:spacing w:before="80" w:after="80" w:line="264" w:lineRule="auto"/>
      </w:pPr>
      <w:r>
        <w:rPr>
          <w:color w:val="17A989"/>
          <w:sz w:val="20"/>
        </w:rPr>
        <w:t xml:space="preserve">🔗 </w:t>
      </w:r>
      <w:r>
        <w:rPr>
          <w:color w:val="17A989"/>
          <w:sz w:val="20"/>
        </w:rPr>
        <w:t>https://pdf.dfcfw.com/pdf/H3_AP202504191658808629_1.pdf?1745158898000.pdf</w:t>
      </w:r>
    </w:p>
    <w:p>
      <w:pPr>
        <w:spacing w:before="80" w:after="80" w:line="264" w:lineRule="auto"/>
      </w:pPr>
      <w:r>
        <w:rPr>
          <w:color w:val="17A989"/>
          <w:sz w:val="20"/>
        </w:rPr>
        <w:t xml:space="preserve">🔗 </w:t>
      </w:r>
      <w:r>
        <w:rPr>
          <w:color w:val="17A989"/>
          <w:sz w:val="20"/>
        </w:rPr>
        <w:t>https://www.sinoss.net/upload/resources/file/2025/07/11/46118.pdf</w:t>
      </w:r>
    </w:p>
    <w:p/>
    <w:p/>
    <w:p>
      <w:pPr>
        <w:spacing w:before="120" w:after="120" w:line="264" w:lineRule="auto"/>
      </w:pPr>
      <w:r>
        <w:rPr>
          <w:color w:val="007AB8"/>
          <w:sz w:val="16"/>
        </w:rPr>
        <w:t>────────────────────────────────────────────────────────────</w:t>
      </w:r>
    </w:p>
    <w:tbl>
      <w:tblPr>
        <w:tblW w:type="auto" w:w="0"/>
        <w:tblLook w:firstColumn="1" w:firstRow="1" w:lastColumn="0" w:lastRow="0" w:noHBand="0" w:noVBand="1" w:val="04A0"/>
      </w:tblPr>
      <w:tblGrid>
        <w:gridCol w:w="13536"/>
      </w:tblGrid>
      <w:tr>
        <w:tc>
          <w:tcPr>
            <w:tcW w:type="dxa" w:w="13536"/>
            <w:shd w:fill="1a3a5c"/>
          </w:tcPr>
          <w:p>
            <w:pPr>
              <w:spacing w:before="200" w:after="200" w:line="264" w:lineRule="auto"/>
              <w:jc w:val="center"/>
            </w:pPr>
            <w:r>
              <w:rPr>
                <w:rFonts w:ascii="微軟正黑體" w:hAnsi="微軟正黑體"/>
                <w:color w:val="FFFFFF"/>
                <w:sz w:val="22"/>
              </w:rPr>
              <w:t>🚀 小安研究團隊出品 | 每日深度研究報告</w:t>
            </w:r>
          </w:p>
        </w:tc>
      </w:tr>
    </w:tbl>
    <w:sectPr w:rsidR="00FC693F" w:rsidRPr="0006063C" w:rsidSect="00034616">
      <w:pgSz w:w="15840" w:h="122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